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REQUEST FOR PROPOSAL: HAUSVERWALTUNG OF A WOHNUNGSEIGENTÜMERGEMEINSCHAFT</w:t>
      </w:r>
    </w:p>
    <w:p>
      <w:pPr>
        <w:spacing w:after="120" w:before="0"/>
        <w:jc w:val="center"/>
      </w:pPr>
      <w:r>
        <w:rPr>
          <w:rFonts w:ascii="Arial" w:cs="Arial" w:eastAsia="Arial" w:hAnsi="Arial"/>
          <w:color w:val="444444"/>
          <w:sz w:val="19"/>
          <w:szCs w:val="19"/>
        </w:rPr>
        <w:t xml:space="preserve">Ausschreibung. Have a lawyer who knows condominium law read it before you send it.</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Association and building:</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Address:</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Number of units: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Current manager (if any):</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Contact for questions and offers: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Deadline for offers:</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Date issued:</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How to bid</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Answer every question. Write “not offered” instead of leaving a line empty.</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Send your offer to the contact above by the deadline. Late offers may not be considered.</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Attach a sample contract, your insurance certificate and the license or certificate that applies to you.</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We compare offers on the criteria and weights below. The lowest price does not win by itself.</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We collect at least three offers and share them only with the people deciding for the owners.</w:t>
      </w:r>
    </w:p>
    <w:p>
      <w:pPr>
        <w:keepNext/>
        <w:spacing w:after="80" w:before="260"/>
      </w:pPr>
      <w:r>
        <w:rPr>
          <w:rFonts w:ascii="Arial" w:cs="Arial" w:eastAsia="Arial" w:hAnsi="Arial"/>
          <w:b/>
          <w:bCs/>
          <w:color w:val="111111"/>
          <w:sz w:val="22"/>
          <w:szCs w:val="22"/>
        </w:rPr>
        <w:t xml:space="preserve">Requirements under the WEG</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State whether you are a certified manager (zertifizierter Verwalter, § 26a WEG) and attach the certificate.</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You accept that the first appointment is limited to three years and later appointments to five (§ 26(2) WEG), and that the owners can dismiss you at any time, the contract then ending at the latest six months after the dismissal (§ 26(3) WEG).</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You will prepare the Wirtschaftsplan, the Jahresabrechnung and the yearly Vermögensbericht, and keep the Beschluss-Sammlung (§§ 24, 28 WEG).</w:t>
      </w:r>
    </w:p>
    <w:p>
      <w:pPr>
        <w:keepNext/>
        <w:spacing w:after="80" w:before="260"/>
      </w:pPr>
      <w:r>
        <w:rPr>
          <w:rFonts w:ascii="Arial" w:cs="Arial" w:eastAsia="Arial" w:hAnsi="Arial"/>
          <w:b/>
          <w:bCs/>
          <w:color w:val="111111"/>
          <w:sz w:val="22"/>
          <w:szCs w:val="22"/>
        </w:rPr>
        <w:t xml:space="preserve">Credentials and compliance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and the person who will run our building hold the license or certificate that applies where we are (if any), and will you show us the number?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carry professional liability and fidelity (crime) insurance, and will you show us the certificate?</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Are you a member of a professional association with a code of conduct that owners can read?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Money handling (20 %)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our building’s money be kept in a separate account in the association’s name, never mixed with your own funds?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owners be able to see the bank statement and who owes what online, at any time?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provide owners with a statement of income and spending every month, within a fixed number of days?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the accounts be reviewed once a year by someone independent of you?</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Reporting and governance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deliver the annual budget and the year-end statement on time, in a form an owner can read?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keep a complete archive of minutes and resolutions that any owner can access?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documents, minutes and contracts be kept in a portal for owners and the board instead of e-mail attachments?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support online voting or remote participation in meetings, where the law allows?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Service and response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assign a named manager to our building, and how many buildings or units does that person run?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have a backup person and an out-of-hours route for burst pipes, elevators and power cuts?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requests be logged with a reference number, and will the resident be able to see the status?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report response and resolution times to the board every month?</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Handover readiness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take over the common parts, keys and technical documents from the developer or the previous manager in a signed protocol?</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track defects and warranty claims with deadlines, and pursue them with the builder?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collect and keep the as-built drawings and the technical file of our building?</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owners be able to see the defects being worked on, with their status?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Independence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declare in writing any ownership, financial or family link to the developer, the sellers of units or the people making decisions on behalf of the owners?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the contract term within what the law allows, and can the owners end it on notice without a penalty?</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disclose when you give work to companies that you or the developer own?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Price transparency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your fee itemized, with what is included written down?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Are extra charges and any percentage charged on major works stated up front, with no open-ended add-ons?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Is the yearly increase tied to a stated index or cap, and will you show last year’s actual workload so offers can be compared like for like?</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Proof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Question</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Bidder’s answer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Score (owners)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Can you give references from buildings of a similar size and age, and say how many years you have been in business?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Will you show us a live demo of what owners and residents actually see?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Do you know, and will you tell us, how many owners actually use online payment and the app? (digital, optional, half weight)</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Fees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24"/>
        <w:gridCol w:w="3411"/>
        <w:gridCol w:w="3411"/>
      </w:tblGrid>
      <w:tr>
        <w:trPr>
          <w:cantSplit/>
          <w:tblHeader/>
        </w:trPr>
        <w:tc>
          <w:tcPr>
            <w:tcW w:type="dxa" w:w="29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Item</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Amount</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Notes</w:t>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Monthly management fee</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Accounting and annual statement</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Extra services (hourly rate)</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Share charged on major works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Setup and takeover from the previous manager</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Yearly increase and its index</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Fee if the contract ends early</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How offers will be scored</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Credentials and compliance: 15 %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Money handling: 20 %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Reporting and governance: 15 %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Service and response: 15 %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Handover readiness: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Independence: 10 %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Price transparency: 10 %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Proof: 5 %</w:t>
      </w:r>
    </w:p>
    <w:p>
      <w:pPr>
        <w:keepNext/>
        <w:spacing w:after="80" w:before="260"/>
      </w:pPr>
      <w:r>
        <w:rPr>
          <w:rFonts w:ascii="Arial" w:cs="Arial" w:eastAsia="Arial" w:hAnsi="Arial"/>
          <w:b/>
          <w:bCs/>
          <w:color w:val="111111"/>
          <w:sz w:val="22"/>
          <w:szCs w:val="22"/>
        </w:rPr>
        <w:t xml:space="preserve">Declaration of independence</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The bidder has no ownership, financial or family link to the developer, the sellers of units or the people deciding for the owners, except as listed below.</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The bidder will disclose in writing any contractor it gives work to in which it or the developer has an interest.</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Links to disclose (write “none” if there are none):</w:t>
      </w:r>
    </w:p>
    <w:p>
      <w:pPr>
        <w:keepNext/>
        <w:spacing w:after="80" w:before="260"/>
      </w:pPr>
      <w:r>
        <w:rPr>
          <w:rFonts w:ascii="Arial" w:cs="Arial" w:eastAsia="Arial" w:hAnsi="Arial"/>
          <w:b/>
          <w:bCs/>
          <w:color w:val="111111"/>
          <w:sz w:val="22"/>
          <w:szCs w:val="22"/>
        </w:rPr>
        <w:t xml:space="preserve">References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173"/>
        <w:gridCol w:w="4173"/>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Building or client</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Units and years under management</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Contact</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For the owners (name, role,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For the bidder (name, role, date)</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Signature</w:t>
            </w:r>
          </w:p>
        </w:tc>
      </w:tr>
    </w:tbl>
    <w:p>
      <w:pPr>
        <w:pBdr>
          <w:top w:val="single" w:color="9A9A9A" w:sz="4" w:space="1"/>
        </w:pBdr>
        <w:spacing w:before="360"/>
      </w:pPr>
      <w:r>
        <w:rPr>
          <w:rFonts w:ascii="Arial" w:cs="Arial" w:eastAsia="Arial" w:hAnsi="Arial"/>
          <w:color w:val="444444"/>
          <w:sz w:val="16"/>
          <w:szCs w:val="16"/>
        </w:rPr>
        <w:t xml:space="preserve">This template is general information, not legal advice. Section references are to the German Wohnungseigentumsgesetz (WEG). For a building in Austria the Wohnungseigentumsgesetz 2002 applies instead; check the term and notice rules with a lawyer. Have a lawyer check it against your Teilungserklärung before you send it.</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https://unitify.com/management-company/choose-or-replace-property-manager-germany · Template version: October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en-US"/>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Hausverwaltung of a Wohnungseigentümergemeinschaft</dc:title>
  <dc:creator>unitify.com</dc:creator>
  <dc:description>https://unitify.com/management-company/choose-or-replace-property-manager-germany</dc:description>
  <cp:lastModifiedBy>unitify.com</cp:lastModifiedBy>
  <cp:revision>1</cp:revision>
  <dcterms:created xsi:type="dcterms:W3CDTF">2026-10-30T18:59:45.392Z</dcterms:created>
  <dcterms:modified xsi:type="dcterms:W3CDTF">2026-10-30T18:59:45.392Z</dcterms:modified>
</cp:coreProperties>
</file>

<file path=docProps/custom.xml><?xml version="1.0" encoding="utf-8"?>
<Properties xmlns="http://schemas.openxmlformats.org/officeDocument/2006/custom-properties" xmlns:vt="http://schemas.openxmlformats.org/officeDocument/2006/docPropsVTypes"/>
</file>