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111111"/>
          <w:sz w:val="30"/>
          <w:szCs w:val="30"/>
        </w:rPr>
        <w:t xml:space="preserve">TENDER: MANAGER FOR A NEW WSPÓLNOTA MIESZKANIOWA</w:t>
      </w:r>
    </w:p>
    <w:p>
      <w:pPr>
        <w:spacing w:after="120" w:before="0"/>
        <w:jc w:val="center"/>
      </w:pPr>
      <w:r>
        <w:rPr>
          <w:rFonts w:ascii="Arial" w:cs="Arial" w:eastAsia="Arial" w:hAnsi="Arial"/>
          <w:color w:val="444444"/>
          <w:sz w:val="19"/>
          <w:szCs w:val="19"/>
        </w:rPr>
        <w:t xml:space="preserve">Issued by the developer before the first deed. Have a lawyer or notary read it before you send 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Project and address:</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Developer:</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Number of units:</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Planned handover date:</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Contact for questions and offers:</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Deadline for offers:</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Date issued:</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Principles of this tender</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The manager works for the owners’ association. It is chosen to be kept by the owners, not to be replaced at their first meeting.</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The contract term and the owners’ right to end it stay within what the law allows, and bidders must accept that.</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Every fee is itemized and can be shown to buyers before they sign.</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The manager takes over the common parts and the technical documents in a signed protocol, and keeps the list of open defects with deadlines.</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The bidder declares any link to the developer and to the people deciding for the owners.</w:t>
      </w:r>
    </w:p>
    <w:p>
      <w:pPr>
        <w:keepNext/>
        <w:spacing w:after="80" w:before="260"/>
      </w:pPr>
      <w:r>
        <w:rPr>
          <w:rFonts w:ascii="Arial" w:cs="Arial" w:eastAsia="Arial" w:hAnsi="Arial"/>
          <w:b/>
          <w:bCs/>
          <w:color w:val="111111"/>
          <w:sz w:val="22"/>
          <w:szCs w:val="22"/>
        </w:rPr>
        <w:t xml:space="preserve">How to bid</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Answer every question. Write “not offered” instead of leaving a line empty.</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Send your offer to the contact above by the deadline.</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Attach a sample contract, your insurance certificate and the license or certificate that applies to you.</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Offers are scored on the criteria and weights below, with independence from the developer weighted highest.</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The developer keeps all offers confidential and shares the shortlist with the first owners’ meeting.</w:t>
      </w:r>
    </w:p>
    <w:p>
      <w:pPr>
        <w:keepNext/>
        <w:spacing w:after="80" w:before="260"/>
      </w:pPr>
      <w:r>
        <w:rPr>
          <w:rFonts w:ascii="Arial" w:cs="Arial" w:eastAsia="Arial" w:hAnsi="Arial"/>
          <w:b/>
          <w:bCs/>
          <w:color w:val="111111"/>
          <w:sz w:val="22"/>
          <w:szCs w:val="22"/>
        </w:rPr>
        <w:t xml:space="preserve">Handover and change of management</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You accept that the owners may change the way of management by a resolution recorded by a notary (art. 18(2a)), and that the contract will not make such a change prohibitively expensive.</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You will draw up, on behalf of the community, the protocol of takeover of the property and its technical documentation (the building documents, the as-built documents and the building log book) (art. 29(1b)).</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You will conduct financial settlements through a bank account, keep separate records of management costs and advances outside the formal books of account, report to owners every year and call the annual meeting by the end of the first quarter (art. 29(1), art. 30(1)).</w:t>
      </w:r>
    </w:p>
    <w:p>
      <w:pPr>
        <w:keepNext/>
        <w:spacing w:after="80" w:before="260"/>
      </w:pPr>
      <w:r>
        <w:rPr>
          <w:rFonts w:ascii="Arial" w:cs="Arial" w:eastAsia="Arial" w:hAnsi="Arial"/>
          <w:b/>
          <w:bCs/>
          <w:color w:val="111111"/>
          <w:sz w:val="22"/>
          <w:szCs w:val="22"/>
        </w:rPr>
        <w:t xml:space="preserve">Independence (25 %)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declare in writing any ownership, financial or family link to the developer, the sellers of units or the people making decisions on behalf of the owners?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Is the contract term within what the law allows, and can the owners end it on notice without a penalty?</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disclose when you give work to companies that you or the developer own?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Credentials and compliance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and the person who will run our building hold the license or certificate that applies where we are (if any), and will you show us the number?</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carry professional liability and fidelity (crime) insurance, and will you show us the certificate?</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Are you a member of a professional association with a code of conduct that owners can read?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Money handling (20 %)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our building’s money be kept in a separate account in the association’s name, never mixed with your own funds?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owners be able to see the bank statement and who owes what online, at any time?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provide owners with a statement of income and spending every month, within a fixed number of days?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the accounts be reviewed once a year by someone independent of you?</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Reporting and governance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deliver the annual budget and the year-end statement on time, in a form an owner can read?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keep a complete archive of minutes and resolutions that any owner can access?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documents, minutes and contracts be kept in a portal for owners and the board instead of e-mail attachments?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support online voting or remote participation in meetings, where the law allows?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Service and response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assign a named manager to our building, and how many buildings or units does that person run?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have a backup person and an out-of-hours route for burst pipes, elevators and power cuts?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requests be logged with a reference number, and will the resident be able to see the status?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report response and resolution times to the board every month?</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Handover readiness (15 %)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take over the common parts, keys and technical documents from the developer or the previous manager in a signed protocol?</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track defects and warranty claims with deadlines, and pursue them with the builder?</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collect and keep the as-built drawings and the technical file of our building?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owners be able to see the defects being worked on, with their status?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Price transparency (5 %)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Is your fee itemized, with what is included written down?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Are extra charges and any percentage charged on major works stated up front, with no open-ended add-ons?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Is the yearly increase tied to a stated index or cap, and will you show last year’s actual workload so offers can be compared like for like?</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Proof (5 %)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Can you give references from buildings of a similar size and age, and say how many years you have been in business?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show us a live demo of what owners and residents actually see?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know, and will you tell us, how many owners actually use online payment and the app?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Fees</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24"/>
        <w:gridCol w:w="3411"/>
        <w:gridCol w:w="3411"/>
      </w:tblGrid>
      <w:tr>
        <w:trPr>
          <w:cantSplit/>
          <w:tblHeader/>
        </w:trPr>
        <w:tc>
          <w:tcPr>
            <w:tcW w:type="dxa" w:w="2924"/>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Item</w:t>
            </w:r>
          </w:p>
        </w:tc>
        <w:tc>
          <w:tcPr>
            <w:tcW w:type="dxa" w:w="3411"/>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Amount</w:t>
            </w:r>
          </w:p>
        </w:tc>
        <w:tc>
          <w:tcPr>
            <w:tcW w:type="dxa" w:w="3411"/>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Notes</w:t>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Monthly management fee</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Accounting and annual statement</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Handover and setup before owners move in</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Extra services (hourly rate)</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Share charged on major works</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Yearly increase and its index</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Fee if the contract ends early</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How offers will be scored</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Independence: 25 %</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Credentials and compliance: 10 %</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Money handling: 20 %</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Reporting and governance: 10 %</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Service and response: 10 %</w:t>
      </w:r>
    </w:p>
    <w:p>
      <w:pPr>
        <w:tabs>
          <w:tab w:val="left" w:pos="400"/>
        </w:tabs>
        <w:spacing w:after="100"/>
        <w:ind w:start="400" w:hanging="400"/>
      </w:pPr>
      <w:r>
        <w:rPr>
          <w:rFonts w:ascii="Arial" w:cs="Arial" w:eastAsia="Arial" w:hAnsi="Arial"/>
          <w:color w:val="666666"/>
          <w:sz w:val="19"/>
          <w:szCs w:val="19"/>
        </w:rPr>
        <w:t xml:space="preserve">6.	</w:t>
      </w:r>
      <w:r>
        <w:rPr>
          <w:rFonts w:ascii="Arial" w:cs="Arial" w:eastAsia="Arial" w:hAnsi="Arial"/>
          <w:color w:val="111111"/>
          <w:sz w:val="19"/>
          <w:szCs w:val="19"/>
        </w:rPr>
        <w:t xml:space="preserve">Handover readiness: 15 %</w:t>
      </w:r>
    </w:p>
    <w:p>
      <w:pPr>
        <w:tabs>
          <w:tab w:val="left" w:pos="400"/>
        </w:tabs>
        <w:spacing w:after="100"/>
        <w:ind w:start="400" w:hanging="400"/>
      </w:pPr>
      <w:r>
        <w:rPr>
          <w:rFonts w:ascii="Arial" w:cs="Arial" w:eastAsia="Arial" w:hAnsi="Arial"/>
          <w:color w:val="666666"/>
          <w:sz w:val="19"/>
          <w:szCs w:val="19"/>
        </w:rPr>
        <w:t xml:space="preserve">7.	</w:t>
      </w:r>
      <w:r>
        <w:rPr>
          <w:rFonts w:ascii="Arial" w:cs="Arial" w:eastAsia="Arial" w:hAnsi="Arial"/>
          <w:color w:val="111111"/>
          <w:sz w:val="19"/>
          <w:szCs w:val="19"/>
        </w:rPr>
        <w:t xml:space="preserve">Price transparency: 5 %</w:t>
      </w:r>
    </w:p>
    <w:p>
      <w:pPr>
        <w:tabs>
          <w:tab w:val="left" w:pos="400"/>
        </w:tabs>
        <w:spacing w:after="100"/>
        <w:ind w:start="400" w:hanging="400"/>
      </w:pPr>
      <w:r>
        <w:rPr>
          <w:rFonts w:ascii="Arial" w:cs="Arial" w:eastAsia="Arial" w:hAnsi="Arial"/>
          <w:color w:val="666666"/>
          <w:sz w:val="19"/>
          <w:szCs w:val="19"/>
        </w:rPr>
        <w:t xml:space="preserve">8.	</w:t>
      </w:r>
      <w:r>
        <w:rPr>
          <w:rFonts w:ascii="Arial" w:cs="Arial" w:eastAsia="Arial" w:hAnsi="Arial"/>
          <w:color w:val="111111"/>
          <w:sz w:val="19"/>
          <w:szCs w:val="19"/>
        </w:rPr>
        <w:t xml:space="preserve">Proof: 5 %</w:t>
      </w:r>
    </w:p>
    <w:p>
      <w:pPr>
        <w:keepNext/>
        <w:spacing w:after="80" w:before="260"/>
      </w:pPr>
      <w:r>
        <w:rPr>
          <w:rFonts w:ascii="Arial" w:cs="Arial" w:eastAsia="Arial" w:hAnsi="Arial"/>
          <w:b/>
          <w:bCs/>
          <w:color w:val="111111"/>
          <w:sz w:val="22"/>
          <w:szCs w:val="22"/>
        </w:rPr>
        <w:t xml:space="preserve">Declaration of independence</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The bidder has no ownership, financial or family link to the developer, the sellers of units or the people deciding for the owners, except as listed below.</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The bidder will disclose in writing any contractor it gives work to in which it or the developer has an interest.</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Links to disclose (write “none” if there are none):</w:t>
      </w:r>
    </w:p>
    <w:p>
      <w:pPr>
        <w:keepNext/>
        <w:spacing w:after="80" w:before="260"/>
      </w:pPr>
      <w:r>
        <w:rPr>
          <w:rFonts w:ascii="Arial" w:cs="Arial" w:eastAsia="Arial" w:hAnsi="Arial"/>
          <w:b/>
          <w:bCs/>
          <w:color w:val="111111"/>
          <w:sz w:val="22"/>
          <w:szCs w:val="22"/>
        </w:rPr>
        <w:t xml:space="preserve">References</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00"/>
        <w:gridCol w:w="4173"/>
        <w:gridCol w:w="4173"/>
      </w:tblGrid>
      <w:tr>
        <w:trPr>
          <w:cantSplit/>
          <w:tblHeader/>
        </w:trPr>
        <w:tc>
          <w:tcPr>
            <w:tcW w:type="dxa" w:w="140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Building or client</w:t>
            </w:r>
          </w:p>
        </w:tc>
        <w:tc>
          <w:tcPr>
            <w:tcW w:type="dxa" w:w="417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Units and years under management</w:t>
            </w:r>
          </w:p>
        </w:tc>
        <w:tc>
          <w:tcPr>
            <w:tcW w:type="dxa" w:w="417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Contact</w:t>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1</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2</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3</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spacing w:after="0" w:before="300"/>
      </w:pPr>
      <w:r>
        <w:rPr>
          <w:rFonts w:ascii="Arial" w:cs="Arial" w:eastAsia="Arial" w:hAnsi="Arial"/>
          <w:color w:val="111111"/>
          <w:sz w:val="19"/>
          <w:szCs w:val="19"/>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For the developer (name, role, date)</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Signature</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For the bidder (name, role, date)</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Signature</w:t>
            </w:r>
          </w:p>
        </w:tc>
      </w:tr>
    </w:tbl>
    <w:p>
      <w:pPr>
        <w:pBdr>
          <w:top w:val="single" w:color="9A9A9A" w:sz="4" w:space="1"/>
        </w:pBdr>
        <w:spacing w:before="360"/>
      </w:pPr>
      <w:r>
        <w:rPr>
          <w:rFonts w:ascii="Arial" w:cs="Arial" w:eastAsia="Arial" w:hAnsi="Arial"/>
          <w:color w:val="444444"/>
          <w:sz w:val="16"/>
          <w:szCs w:val="16"/>
        </w:rPr>
        <w:t xml:space="preserve">This template is general information, not legal advice. Article references are to the Polish act on apartment ownership (ustawa o własności lokali, consolidated text, Dz. U. 2026 poz. 232). Have a lawyer or notary check it against your project before you send it.</w:t>
      </w:r>
    </w:p>
    <w:sectPr>
      <w:footerReference w:type="default" r:id="rId6"/>
      <w:pgSz w:w="11906" w:h="16838" w:orient="portrait"/>
      <w:pgMar w:top="1080" w:right="1080" w:bottom="1080" w:left="1080" w:header="708"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C8C8" w:sz="2" w:space="1"/>
      </w:pBdr>
      <w:tabs>
        <w:tab w:val="right" w:pos="9746"/>
      </w:tabs>
      <w:bidi w:val="false"/>
    </w:pPr>
    <w:r>
      <w:rPr>
        <w:rFonts w:ascii="Arial" w:cs="Arial" w:eastAsia="Arial" w:hAnsi="Arial"/>
        <w:color w:val="666666"/>
        <w:sz w:val="15"/>
        <w:szCs w:val="15"/>
      </w:rPr>
      <w:t xml:space="preserve">unitify.com · https://unitify.com/management-company/developer-handover-to-property-manager-poland · Template version: October 2026</w:t>
    </w:r>
    <w:r>
      <w:rPr>
        <w:rFonts w:ascii="Arial" w:cs="Arial" w:eastAsia="Arial" w:hAnsi="Arial"/>
        <w:color w:val="666666"/>
        <w:sz w:val="15"/>
        <w:szCs w:val="15"/>
      </w:rPr>
      <w:t xml:space="preserve">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PAGE</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r>
      <w:rPr>
        <w:rFonts w:ascii="Arial" w:cs="Arial" w:eastAsia="Arial" w:hAnsi="Arial"/>
        <w:color w:val="666666"/>
        <w:sz w:val="15"/>
        <w:szCs w:val="15"/>
      </w:rPr>
      <w:t xml:space="preserve"> /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NUMPAGES</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19"/>
        <w:szCs w:val="19"/>
        <w:lang w:val="en-US"/>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manager for a new wspólnota mieszkaniowa</dc:title>
  <dc:creator>unitify.com</dc:creator>
  <dc:description>https://unitify.com/management-company/developer-handover-to-property-manager-poland</dc:description>
  <cp:lastModifiedBy>unitify.com</cp:lastModifiedBy>
  <cp:revision>1</cp:revision>
  <dcterms:created xsi:type="dcterms:W3CDTF">2026-10-30T18:59:43.355Z</dcterms:created>
  <dcterms:modified xsi:type="dcterms:W3CDTF">2026-10-30T18:59:43.355Z</dcterms:modified>
</cp:coreProperties>
</file>

<file path=docProps/custom.xml><?xml version="1.0" encoding="utf-8"?>
<Properties xmlns="http://schemas.openxmlformats.org/officeDocument/2006/custom-properties" xmlns:vt="http://schemas.openxmlformats.org/officeDocument/2006/docPropsVTypes"/>
</file>