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jc w:val="center"/>
      </w:pPr>
      <w:r>
        <w:rPr>
          <w:rFonts w:ascii="Arial" w:cs="Arial" w:eastAsia="Arial" w:hAnsi="Arial"/>
          <w:b/>
          <w:bCs/>
          <w:color w:val="111111"/>
          <w:sz w:val="30"/>
          <w:szCs w:val="30"/>
        </w:rPr>
        <w:t xml:space="preserve">TENDER: MANAGEMENT COMPANY FOR A NEW CONDOMINIUM</w:t>
      </w:r>
    </w:p>
    <w:p>
      <w:pPr>
        <w:spacing w:after="120" w:before="0"/>
        <w:jc w:val="center"/>
      </w:pPr>
      <w:r>
        <w:rPr>
          <w:rFonts w:ascii="Arial" w:cs="Arial" w:eastAsia="Arial" w:hAnsi="Arial"/>
          <w:color w:val="444444"/>
          <w:sz w:val="19"/>
          <w:szCs w:val="19"/>
        </w:rPr>
        <w:t xml:space="preserve">Issued by the developer before turnover. Have your attorney read it before you send it.</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840"/>
        <w:gridCol w:w="400"/>
        <w:gridCol w:w="4840"/>
      </w:tblGrid>
      <w:tr>
        <w:trPr>
          <w:cantSplit/>
        </w:trPr>
        <w:tc>
          <w:tcPr>
            <w:tcW w:type="dxa" w:w="4840"/>
            <w:tcBorders>
              <w:top w:val="none" w:color="FFFFFF" w:sz="0"/>
              <w:left w:val="none" w:color="FFFFFF" w:sz="0"/>
              <w:bottom w:val="single" w:color="9A9A9A" w:sz="4" w:space="1"/>
              <w:right w:val="none" w:color="FFFFFF" w:sz="0"/>
            </w:tcBorders>
            <w:tcMar>
              <w:top w:type="dxa" w:w="100"/>
              <w:left w:type="dxa" w:w="0"/>
              <w:bottom w:type="dxa" w:w="40"/>
              <w:right w:type="dxa" w:w="0"/>
            </w:tcMar>
          </w:tcPr>
          <w:p>
            <w:pPr>
              <w:spacing w:after="0" w:before="0"/>
            </w:pPr>
            <w:r>
              <w:rPr>
                <w:rFonts w:ascii="Arial" w:cs="Arial" w:eastAsia="Arial" w:hAnsi="Arial"/>
                <w:color w:val="444444"/>
                <w:sz w:val="17"/>
                <w:szCs w:val="17"/>
              </w:rPr>
              <w:t xml:space="preserve">Project and address:</w:t>
            </w:r>
          </w:p>
          <w:p>
            <w:pPr>
              <w:spacing w:after="0" w:before="0"/>
            </w:pPr>
            <w:r>
              <w:rPr>
                <w:rFonts w:ascii="Arial" w:cs="Arial" w:eastAsia="Arial" w:hAnsi="Arial"/>
                <w:color w:val="111111"/>
                <w:sz w:val="24"/>
                <w:szCs w:val="24"/>
              </w:rPr>
              <w:t xml:space="preserve"> </w:t>
            </w:r>
          </w:p>
        </w:tc>
        <w:tc>
          <w:tcPr>
            <w:tcW w:type="dxa" w:w="400"/>
            <w:tcBorders>
              <w:top w:val="none" w:color="FFFFFF" w:sz="0"/>
              <w:left w:val="none" w:color="FFFFFF" w:sz="0"/>
              <w:bottom w:val="none" w:color="FFFFFF" w:sz="0"/>
              <w:right w:val="none" w:color="FFFFFF" w:sz="0"/>
            </w:tcBorders>
          </w:tcPr>
          <w:p>
            <w:pPr>
              <w:spacing w:after="0" w:before="0"/>
            </w:pPr>
            <w:r>
              <w:rPr>
                <w:rFonts w:ascii="Arial" w:cs="Arial" w:eastAsia="Arial" w:hAnsi="Arial"/>
                <w:color w:val="111111"/>
                <w:sz w:val="19"/>
                <w:szCs w:val="19"/>
              </w:rPr>
              <w:t xml:space="preserve"/>
            </w:r>
          </w:p>
        </w:tc>
        <w:tc>
          <w:tcPr>
            <w:tcW w:type="dxa" w:w="4840"/>
            <w:tcBorders>
              <w:top w:val="none" w:color="FFFFFF" w:sz="0"/>
              <w:left w:val="none" w:color="FFFFFF" w:sz="0"/>
              <w:bottom w:val="single" w:color="9A9A9A" w:sz="4" w:space="1"/>
              <w:right w:val="none" w:color="FFFFFF" w:sz="0"/>
            </w:tcBorders>
            <w:tcMar>
              <w:top w:type="dxa" w:w="100"/>
              <w:left w:type="dxa" w:w="0"/>
              <w:bottom w:type="dxa" w:w="40"/>
              <w:right w:type="dxa" w:w="0"/>
            </w:tcMar>
          </w:tcPr>
          <w:p>
            <w:pPr>
              <w:spacing w:after="0" w:before="0"/>
            </w:pPr>
            <w:r>
              <w:rPr>
                <w:rFonts w:ascii="Arial" w:cs="Arial" w:eastAsia="Arial" w:hAnsi="Arial"/>
                <w:color w:val="444444"/>
                <w:sz w:val="17"/>
                <w:szCs w:val="17"/>
              </w:rPr>
              <w:t xml:space="preserve">Developer:</w:t>
            </w:r>
          </w:p>
          <w:p>
            <w:pPr>
              <w:spacing w:after="0" w:before="0"/>
            </w:pPr>
            <w:r>
              <w:rPr>
                <w:rFonts w:ascii="Arial" w:cs="Arial" w:eastAsia="Arial" w:hAnsi="Arial"/>
                <w:color w:val="111111"/>
                <w:sz w:val="24"/>
                <w:szCs w:val="24"/>
              </w:rPr>
              <w:t xml:space="preserve"> </w:t>
            </w:r>
          </w:p>
        </w:tc>
      </w:tr>
      <w:tr>
        <w:trPr>
          <w:cantSplit/>
        </w:trPr>
        <w:tc>
          <w:tcPr>
            <w:tcW w:type="dxa" w:w="4840"/>
            <w:tcBorders>
              <w:top w:val="none" w:color="FFFFFF" w:sz="0"/>
              <w:left w:val="none" w:color="FFFFFF" w:sz="0"/>
              <w:bottom w:val="single" w:color="9A9A9A" w:sz="4" w:space="1"/>
              <w:right w:val="none" w:color="FFFFFF" w:sz="0"/>
            </w:tcBorders>
            <w:tcMar>
              <w:top w:type="dxa" w:w="100"/>
              <w:left w:type="dxa" w:w="0"/>
              <w:bottom w:type="dxa" w:w="40"/>
              <w:right w:type="dxa" w:w="0"/>
            </w:tcMar>
          </w:tcPr>
          <w:p>
            <w:pPr>
              <w:spacing w:after="0" w:before="0"/>
            </w:pPr>
            <w:r>
              <w:rPr>
                <w:rFonts w:ascii="Arial" w:cs="Arial" w:eastAsia="Arial" w:hAnsi="Arial"/>
                <w:color w:val="444444"/>
                <w:sz w:val="17"/>
                <w:szCs w:val="17"/>
              </w:rPr>
              <w:t xml:space="preserve">Number of units:</w:t>
            </w:r>
          </w:p>
          <w:p>
            <w:pPr>
              <w:spacing w:after="0" w:before="0"/>
            </w:pPr>
            <w:r>
              <w:rPr>
                <w:rFonts w:ascii="Arial" w:cs="Arial" w:eastAsia="Arial" w:hAnsi="Arial"/>
                <w:color w:val="111111"/>
                <w:sz w:val="24"/>
                <w:szCs w:val="24"/>
              </w:rPr>
              <w:t xml:space="preserve"> </w:t>
            </w:r>
          </w:p>
        </w:tc>
        <w:tc>
          <w:tcPr>
            <w:tcW w:type="dxa" w:w="400"/>
            <w:tcBorders>
              <w:top w:val="none" w:color="FFFFFF" w:sz="0"/>
              <w:left w:val="none" w:color="FFFFFF" w:sz="0"/>
              <w:bottom w:val="none" w:color="FFFFFF" w:sz="0"/>
              <w:right w:val="none" w:color="FFFFFF" w:sz="0"/>
            </w:tcBorders>
          </w:tcPr>
          <w:p>
            <w:pPr>
              <w:spacing w:after="0" w:before="0"/>
            </w:pPr>
            <w:r>
              <w:rPr>
                <w:rFonts w:ascii="Arial" w:cs="Arial" w:eastAsia="Arial" w:hAnsi="Arial"/>
                <w:color w:val="111111"/>
                <w:sz w:val="19"/>
                <w:szCs w:val="19"/>
              </w:rPr>
              <w:t xml:space="preserve"/>
            </w:r>
          </w:p>
        </w:tc>
        <w:tc>
          <w:tcPr>
            <w:tcW w:type="dxa" w:w="4840"/>
            <w:tcBorders>
              <w:top w:val="none" w:color="FFFFFF" w:sz="0"/>
              <w:left w:val="none" w:color="FFFFFF" w:sz="0"/>
              <w:bottom w:val="single" w:color="9A9A9A" w:sz="4" w:space="1"/>
              <w:right w:val="none" w:color="FFFFFF" w:sz="0"/>
            </w:tcBorders>
            <w:tcMar>
              <w:top w:type="dxa" w:w="100"/>
              <w:left w:type="dxa" w:w="0"/>
              <w:bottom w:type="dxa" w:w="40"/>
              <w:right w:type="dxa" w:w="0"/>
            </w:tcMar>
          </w:tcPr>
          <w:p>
            <w:pPr>
              <w:spacing w:after="0" w:before="0"/>
            </w:pPr>
            <w:r>
              <w:rPr>
                <w:rFonts w:ascii="Arial" w:cs="Arial" w:eastAsia="Arial" w:hAnsi="Arial"/>
                <w:color w:val="444444"/>
                <w:sz w:val="17"/>
                <w:szCs w:val="17"/>
              </w:rPr>
              <w:t xml:space="preserve">Planned handover date:</w:t>
            </w:r>
          </w:p>
          <w:p>
            <w:pPr>
              <w:spacing w:after="0" w:before="0"/>
            </w:pPr>
            <w:r>
              <w:rPr>
                <w:rFonts w:ascii="Arial" w:cs="Arial" w:eastAsia="Arial" w:hAnsi="Arial"/>
                <w:color w:val="111111"/>
                <w:sz w:val="24"/>
                <w:szCs w:val="24"/>
              </w:rPr>
              <w:t xml:space="preserve"> </w:t>
            </w:r>
          </w:p>
        </w:tc>
      </w:tr>
      <w:tr>
        <w:trPr>
          <w:cantSplit/>
        </w:trPr>
        <w:tc>
          <w:tcPr>
            <w:tcW w:type="dxa" w:w="4840"/>
            <w:tcBorders>
              <w:top w:val="none" w:color="FFFFFF" w:sz="0"/>
              <w:left w:val="none" w:color="FFFFFF" w:sz="0"/>
              <w:bottom w:val="single" w:color="9A9A9A" w:sz="4" w:space="1"/>
              <w:right w:val="none" w:color="FFFFFF" w:sz="0"/>
            </w:tcBorders>
            <w:tcMar>
              <w:top w:type="dxa" w:w="100"/>
              <w:left w:type="dxa" w:w="0"/>
              <w:bottom w:type="dxa" w:w="40"/>
              <w:right w:type="dxa" w:w="0"/>
            </w:tcMar>
          </w:tcPr>
          <w:p>
            <w:pPr>
              <w:spacing w:after="0" w:before="0"/>
            </w:pPr>
            <w:r>
              <w:rPr>
                <w:rFonts w:ascii="Arial" w:cs="Arial" w:eastAsia="Arial" w:hAnsi="Arial"/>
                <w:color w:val="444444"/>
                <w:sz w:val="17"/>
                <w:szCs w:val="17"/>
              </w:rPr>
              <w:t xml:space="preserve">Contact for questions and offers:</w:t>
            </w:r>
          </w:p>
          <w:p>
            <w:pPr>
              <w:spacing w:after="0" w:before="0"/>
            </w:pPr>
            <w:r>
              <w:rPr>
                <w:rFonts w:ascii="Arial" w:cs="Arial" w:eastAsia="Arial" w:hAnsi="Arial"/>
                <w:color w:val="111111"/>
                <w:sz w:val="24"/>
                <w:szCs w:val="24"/>
              </w:rPr>
              <w:t xml:space="preserve"> </w:t>
            </w:r>
          </w:p>
        </w:tc>
        <w:tc>
          <w:tcPr>
            <w:tcW w:type="dxa" w:w="400"/>
            <w:tcBorders>
              <w:top w:val="none" w:color="FFFFFF" w:sz="0"/>
              <w:left w:val="none" w:color="FFFFFF" w:sz="0"/>
              <w:bottom w:val="none" w:color="FFFFFF" w:sz="0"/>
              <w:right w:val="none" w:color="FFFFFF" w:sz="0"/>
            </w:tcBorders>
          </w:tcPr>
          <w:p>
            <w:pPr>
              <w:spacing w:after="0" w:before="0"/>
            </w:pPr>
            <w:r>
              <w:rPr>
                <w:rFonts w:ascii="Arial" w:cs="Arial" w:eastAsia="Arial" w:hAnsi="Arial"/>
                <w:color w:val="111111"/>
                <w:sz w:val="19"/>
                <w:szCs w:val="19"/>
              </w:rPr>
              <w:t xml:space="preserve"/>
            </w:r>
          </w:p>
        </w:tc>
        <w:tc>
          <w:tcPr>
            <w:tcW w:type="dxa" w:w="4840"/>
            <w:tcBorders>
              <w:top w:val="none" w:color="FFFFFF" w:sz="0"/>
              <w:left w:val="none" w:color="FFFFFF" w:sz="0"/>
              <w:bottom w:val="single" w:color="9A9A9A" w:sz="4" w:space="1"/>
              <w:right w:val="none" w:color="FFFFFF" w:sz="0"/>
            </w:tcBorders>
            <w:tcMar>
              <w:top w:type="dxa" w:w="100"/>
              <w:left w:type="dxa" w:w="0"/>
              <w:bottom w:type="dxa" w:w="40"/>
              <w:right w:type="dxa" w:w="0"/>
            </w:tcMar>
          </w:tcPr>
          <w:p>
            <w:pPr>
              <w:spacing w:after="0" w:before="0"/>
            </w:pPr>
            <w:r>
              <w:rPr>
                <w:rFonts w:ascii="Arial" w:cs="Arial" w:eastAsia="Arial" w:hAnsi="Arial"/>
                <w:color w:val="444444"/>
                <w:sz w:val="17"/>
                <w:szCs w:val="17"/>
              </w:rPr>
              <w:t xml:space="preserve">Deadline for offers:</w:t>
            </w:r>
          </w:p>
          <w:p>
            <w:pPr>
              <w:spacing w:after="0" w:before="0"/>
            </w:pPr>
            <w:r>
              <w:rPr>
                <w:rFonts w:ascii="Arial" w:cs="Arial" w:eastAsia="Arial" w:hAnsi="Arial"/>
                <w:color w:val="111111"/>
                <w:sz w:val="24"/>
                <w:szCs w:val="24"/>
              </w:rPr>
              <w:t xml:space="preserve"> </w:t>
            </w:r>
          </w:p>
        </w:tc>
      </w:tr>
      <w:tr>
        <w:trPr>
          <w:cantSplit/>
        </w:trPr>
        <w:tc>
          <w:tcPr>
            <w:tcW w:type="dxa" w:w="4840"/>
            <w:tcBorders>
              <w:top w:val="none" w:color="FFFFFF" w:sz="0"/>
              <w:left w:val="none" w:color="FFFFFF" w:sz="0"/>
              <w:bottom w:val="single" w:color="9A9A9A" w:sz="4" w:space="1"/>
              <w:right w:val="none" w:color="FFFFFF" w:sz="0"/>
            </w:tcBorders>
            <w:tcMar>
              <w:top w:type="dxa" w:w="100"/>
              <w:left w:type="dxa" w:w="0"/>
              <w:bottom w:type="dxa" w:w="40"/>
              <w:right w:type="dxa" w:w="0"/>
            </w:tcMar>
          </w:tcPr>
          <w:p>
            <w:pPr>
              <w:spacing w:after="0" w:before="0"/>
            </w:pPr>
            <w:r>
              <w:rPr>
                <w:rFonts w:ascii="Arial" w:cs="Arial" w:eastAsia="Arial" w:hAnsi="Arial"/>
                <w:color w:val="444444"/>
                <w:sz w:val="17"/>
                <w:szCs w:val="17"/>
              </w:rPr>
              <w:t xml:space="preserve">Date issued:</w:t>
            </w:r>
          </w:p>
          <w:p>
            <w:pPr>
              <w:spacing w:after="0" w:before="0"/>
            </w:pPr>
            <w:r>
              <w:rPr>
                <w:rFonts w:ascii="Arial" w:cs="Arial" w:eastAsia="Arial" w:hAnsi="Arial"/>
                <w:color w:val="111111"/>
                <w:sz w:val="24"/>
                <w:szCs w:val="24"/>
              </w:rPr>
              <w:t xml:space="preserve"> </w:t>
            </w:r>
          </w:p>
        </w:tc>
        <w:tc>
          <w:tcPr>
            <w:tcW w:type="dxa" w:w="400"/>
            <w:tcBorders>
              <w:top w:val="none" w:color="FFFFFF" w:sz="0"/>
              <w:left w:val="none" w:color="FFFFFF" w:sz="0"/>
              <w:bottom w:val="none" w:color="FFFFFF" w:sz="0"/>
              <w:right w:val="none" w:color="FFFFFF" w:sz="0"/>
            </w:tcBorders>
          </w:tcPr>
          <w:p>
            <w:pPr>
              <w:spacing w:after="0" w:before="0"/>
            </w:pPr>
            <w:r>
              <w:rPr>
                <w:rFonts w:ascii="Arial" w:cs="Arial" w:eastAsia="Arial" w:hAnsi="Arial"/>
                <w:color w:val="111111"/>
                <w:sz w:val="19"/>
                <w:szCs w:val="19"/>
              </w:rPr>
              <w:t xml:space="preserve"/>
            </w:r>
          </w:p>
        </w:tc>
        <w:tc>
          <w:tcPr>
            <w:tcW w:type="dxa" w:w="4840"/>
            <w:tcBorders>
              <w:top w:val="none" w:color="FFFFFF" w:sz="0"/>
              <w:left w:val="none" w:color="FFFFFF" w:sz="0"/>
              <w:bottom w:val="none" w:color="FFFFFF" w:sz="0"/>
              <w:right w:val="none" w:color="FFFFFF" w:sz="0"/>
            </w:tcBorders>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Principles of this tender</w:t>
      </w:r>
    </w:p>
    <w:p>
      <w:pPr>
        <w:tabs>
          <w:tab w:val="left" w:pos="400"/>
        </w:tabs>
        <w:spacing w:after="100"/>
        <w:ind w:start="400" w:hanging="400"/>
      </w:pPr>
      <w:r>
        <w:rPr>
          <w:rFonts w:ascii="Arial" w:cs="Arial" w:eastAsia="Arial" w:hAnsi="Arial"/>
          <w:color w:val="666666"/>
          <w:sz w:val="19"/>
          <w:szCs w:val="19"/>
        </w:rPr>
        <w:t xml:space="preserve">1.	</w:t>
      </w:r>
      <w:r>
        <w:rPr>
          <w:rFonts w:ascii="Arial" w:cs="Arial" w:eastAsia="Arial" w:hAnsi="Arial"/>
          <w:color w:val="111111"/>
          <w:sz w:val="19"/>
          <w:szCs w:val="19"/>
        </w:rPr>
        <w:t xml:space="preserve">The manager works for the owners’ association. It is chosen to be kept by the owners, not to be replaced at their first meeting.</w:t>
      </w:r>
    </w:p>
    <w:p>
      <w:pPr>
        <w:tabs>
          <w:tab w:val="left" w:pos="400"/>
        </w:tabs>
        <w:spacing w:after="100"/>
        <w:ind w:start="400" w:hanging="400"/>
      </w:pPr>
      <w:r>
        <w:rPr>
          <w:rFonts w:ascii="Arial" w:cs="Arial" w:eastAsia="Arial" w:hAnsi="Arial"/>
          <w:color w:val="666666"/>
          <w:sz w:val="19"/>
          <w:szCs w:val="19"/>
        </w:rPr>
        <w:t xml:space="preserve">2.	</w:t>
      </w:r>
      <w:r>
        <w:rPr>
          <w:rFonts w:ascii="Arial" w:cs="Arial" w:eastAsia="Arial" w:hAnsi="Arial"/>
          <w:color w:val="111111"/>
          <w:sz w:val="19"/>
          <w:szCs w:val="19"/>
        </w:rPr>
        <w:t xml:space="preserve">The contract term and the owners’ right to end it stay within what the law allows, and bidders must accept that.</w:t>
      </w:r>
    </w:p>
    <w:p>
      <w:pPr>
        <w:tabs>
          <w:tab w:val="left" w:pos="400"/>
        </w:tabs>
        <w:spacing w:after="100"/>
        <w:ind w:start="400" w:hanging="400"/>
      </w:pPr>
      <w:r>
        <w:rPr>
          <w:rFonts w:ascii="Arial" w:cs="Arial" w:eastAsia="Arial" w:hAnsi="Arial"/>
          <w:color w:val="666666"/>
          <w:sz w:val="19"/>
          <w:szCs w:val="19"/>
        </w:rPr>
        <w:t xml:space="preserve">3.	</w:t>
      </w:r>
      <w:r>
        <w:rPr>
          <w:rFonts w:ascii="Arial" w:cs="Arial" w:eastAsia="Arial" w:hAnsi="Arial"/>
          <w:color w:val="111111"/>
          <w:sz w:val="19"/>
          <w:szCs w:val="19"/>
        </w:rPr>
        <w:t xml:space="preserve">Every fee is itemized and can be shown to buyers before they sign.</w:t>
      </w:r>
    </w:p>
    <w:p>
      <w:pPr>
        <w:tabs>
          <w:tab w:val="left" w:pos="400"/>
        </w:tabs>
        <w:spacing w:after="100"/>
        <w:ind w:start="400" w:hanging="400"/>
      </w:pPr>
      <w:r>
        <w:rPr>
          <w:rFonts w:ascii="Arial" w:cs="Arial" w:eastAsia="Arial" w:hAnsi="Arial"/>
          <w:color w:val="666666"/>
          <w:sz w:val="19"/>
          <w:szCs w:val="19"/>
        </w:rPr>
        <w:t xml:space="preserve">4.	</w:t>
      </w:r>
      <w:r>
        <w:rPr>
          <w:rFonts w:ascii="Arial" w:cs="Arial" w:eastAsia="Arial" w:hAnsi="Arial"/>
          <w:color w:val="111111"/>
          <w:sz w:val="19"/>
          <w:szCs w:val="19"/>
        </w:rPr>
        <w:t xml:space="preserve">The manager takes over the common parts and the technical documents in a signed protocol, and keeps the list of open defects with deadlines.</w:t>
      </w:r>
    </w:p>
    <w:p>
      <w:pPr>
        <w:tabs>
          <w:tab w:val="left" w:pos="400"/>
        </w:tabs>
        <w:spacing w:after="100"/>
        <w:ind w:start="400" w:hanging="400"/>
      </w:pPr>
      <w:r>
        <w:rPr>
          <w:rFonts w:ascii="Arial" w:cs="Arial" w:eastAsia="Arial" w:hAnsi="Arial"/>
          <w:color w:val="666666"/>
          <w:sz w:val="19"/>
          <w:szCs w:val="19"/>
        </w:rPr>
        <w:t xml:space="preserve">5.	</w:t>
      </w:r>
      <w:r>
        <w:rPr>
          <w:rFonts w:ascii="Arial" w:cs="Arial" w:eastAsia="Arial" w:hAnsi="Arial"/>
          <w:color w:val="111111"/>
          <w:sz w:val="19"/>
          <w:szCs w:val="19"/>
        </w:rPr>
        <w:t xml:space="preserve">The bidder declares any link to the developer and to the people deciding for the owners.</w:t>
      </w:r>
    </w:p>
    <w:p>
      <w:pPr>
        <w:keepNext/>
        <w:spacing w:after="80" w:before="260"/>
      </w:pPr>
      <w:r>
        <w:rPr>
          <w:rFonts w:ascii="Arial" w:cs="Arial" w:eastAsia="Arial" w:hAnsi="Arial"/>
          <w:b/>
          <w:bCs/>
          <w:color w:val="111111"/>
          <w:sz w:val="22"/>
          <w:szCs w:val="22"/>
        </w:rPr>
        <w:t xml:space="preserve">How to bid</w:t>
      </w:r>
    </w:p>
    <w:p>
      <w:pPr>
        <w:tabs>
          <w:tab w:val="left" w:pos="400"/>
        </w:tabs>
        <w:spacing w:after="100"/>
        <w:ind w:start="400" w:hanging="400"/>
      </w:pPr>
      <w:r>
        <w:rPr>
          <w:rFonts w:ascii="Arial" w:cs="Arial" w:eastAsia="Arial" w:hAnsi="Arial"/>
          <w:color w:val="666666"/>
          <w:sz w:val="19"/>
          <w:szCs w:val="19"/>
        </w:rPr>
        <w:t xml:space="preserve">1.	</w:t>
      </w:r>
      <w:r>
        <w:rPr>
          <w:rFonts w:ascii="Arial" w:cs="Arial" w:eastAsia="Arial" w:hAnsi="Arial"/>
          <w:color w:val="111111"/>
          <w:sz w:val="19"/>
          <w:szCs w:val="19"/>
        </w:rPr>
        <w:t xml:space="preserve">Answer every question. Write “not offered” instead of leaving a line empty.</w:t>
      </w:r>
    </w:p>
    <w:p>
      <w:pPr>
        <w:tabs>
          <w:tab w:val="left" w:pos="400"/>
        </w:tabs>
        <w:spacing w:after="100"/>
        <w:ind w:start="400" w:hanging="400"/>
      </w:pPr>
      <w:r>
        <w:rPr>
          <w:rFonts w:ascii="Arial" w:cs="Arial" w:eastAsia="Arial" w:hAnsi="Arial"/>
          <w:color w:val="666666"/>
          <w:sz w:val="19"/>
          <w:szCs w:val="19"/>
        </w:rPr>
        <w:t xml:space="preserve">2.	</w:t>
      </w:r>
      <w:r>
        <w:rPr>
          <w:rFonts w:ascii="Arial" w:cs="Arial" w:eastAsia="Arial" w:hAnsi="Arial"/>
          <w:color w:val="111111"/>
          <w:sz w:val="19"/>
          <w:szCs w:val="19"/>
        </w:rPr>
        <w:t xml:space="preserve">Send your offer to the contact above by the deadline.</w:t>
      </w:r>
    </w:p>
    <w:p>
      <w:pPr>
        <w:tabs>
          <w:tab w:val="left" w:pos="400"/>
        </w:tabs>
        <w:spacing w:after="100"/>
        <w:ind w:start="400" w:hanging="400"/>
      </w:pPr>
      <w:r>
        <w:rPr>
          <w:rFonts w:ascii="Arial" w:cs="Arial" w:eastAsia="Arial" w:hAnsi="Arial"/>
          <w:color w:val="666666"/>
          <w:sz w:val="19"/>
          <w:szCs w:val="19"/>
        </w:rPr>
        <w:t xml:space="preserve">3.	</w:t>
      </w:r>
      <w:r>
        <w:rPr>
          <w:rFonts w:ascii="Arial" w:cs="Arial" w:eastAsia="Arial" w:hAnsi="Arial"/>
          <w:color w:val="111111"/>
          <w:sz w:val="19"/>
          <w:szCs w:val="19"/>
        </w:rPr>
        <w:t xml:space="preserve">Attach a sample contract, your insurance certificate and the license or certificate that applies to you.</w:t>
      </w:r>
    </w:p>
    <w:p>
      <w:pPr>
        <w:tabs>
          <w:tab w:val="left" w:pos="400"/>
        </w:tabs>
        <w:spacing w:after="100"/>
        <w:ind w:start="400" w:hanging="400"/>
      </w:pPr>
      <w:r>
        <w:rPr>
          <w:rFonts w:ascii="Arial" w:cs="Arial" w:eastAsia="Arial" w:hAnsi="Arial"/>
          <w:color w:val="666666"/>
          <w:sz w:val="19"/>
          <w:szCs w:val="19"/>
        </w:rPr>
        <w:t xml:space="preserve">4.	</w:t>
      </w:r>
      <w:r>
        <w:rPr>
          <w:rFonts w:ascii="Arial" w:cs="Arial" w:eastAsia="Arial" w:hAnsi="Arial"/>
          <w:color w:val="111111"/>
          <w:sz w:val="19"/>
          <w:szCs w:val="19"/>
        </w:rPr>
        <w:t xml:space="preserve">Offers are scored on the criteria and weights below, with independence from the developer weighted highest.</w:t>
      </w:r>
    </w:p>
    <w:p>
      <w:pPr>
        <w:tabs>
          <w:tab w:val="left" w:pos="400"/>
        </w:tabs>
        <w:spacing w:after="100"/>
        <w:ind w:start="400" w:hanging="400"/>
      </w:pPr>
      <w:r>
        <w:rPr>
          <w:rFonts w:ascii="Arial" w:cs="Arial" w:eastAsia="Arial" w:hAnsi="Arial"/>
          <w:color w:val="666666"/>
          <w:sz w:val="19"/>
          <w:szCs w:val="19"/>
        </w:rPr>
        <w:t xml:space="preserve">5.	</w:t>
      </w:r>
      <w:r>
        <w:rPr>
          <w:rFonts w:ascii="Arial" w:cs="Arial" w:eastAsia="Arial" w:hAnsi="Arial"/>
          <w:color w:val="111111"/>
          <w:sz w:val="19"/>
          <w:szCs w:val="19"/>
        </w:rPr>
        <w:t xml:space="preserve">The developer keeps all offers confidential and shares the shortlist with the first owners’ meeting.</w:t>
      </w:r>
    </w:p>
    <w:p>
      <w:pPr>
        <w:keepNext/>
        <w:spacing w:after="80" w:before="260"/>
      </w:pPr>
      <w:r>
        <w:rPr>
          <w:rFonts w:ascii="Arial" w:cs="Arial" w:eastAsia="Arial" w:hAnsi="Arial"/>
          <w:b/>
          <w:bCs/>
          <w:color w:val="111111"/>
          <w:sz w:val="22"/>
          <w:szCs w:val="22"/>
        </w:rPr>
        <w:t xml:space="preserve">Turnover and cancellation</w:t>
      </w:r>
    </w:p>
    <w:p>
      <w:pPr>
        <w:tabs>
          <w:tab w:val="left" w:pos="400"/>
        </w:tabs>
        <w:spacing w:after="100"/>
        <w:ind w:start="400" w:hanging="400"/>
      </w:pPr>
      <w:r>
        <w:rPr>
          <w:rFonts w:ascii="Arial" w:cs="Arial" w:eastAsia="Arial" w:hAnsi="Arial"/>
          <w:color w:val="666666"/>
          <w:sz w:val="19"/>
          <w:szCs w:val="19"/>
        </w:rPr>
        <w:t xml:space="preserve">1.	</w:t>
      </w:r>
      <w:r>
        <w:rPr>
          <w:rFonts w:ascii="Arial" w:cs="Arial" w:eastAsia="Arial" w:hAnsi="Arial"/>
          <w:color w:val="111111"/>
          <w:sz w:val="19"/>
          <w:szCs w:val="19"/>
        </w:rPr>
        <w:t xml:space="preserve">You accept that a contract made before the owners take control may be canceled by the owners other than the developer on the terms of s. 718.302.</w:t>
      </w:r>
    </w:p>
    <w:p>
      <w:pPr>
        <w:tabs>
          <w:tab w:val="left" w:pos="400"/>
        </w:tabs>
        <w:spacing w:after="100"/>
        <w:ind w:start="400" w:hanging="400"/>
      </w:pPr>
      <w:r>
        <w:rPr>
          <w:rFonts w:ascii="Arial" w:cs="Arial" w:eastAsia="Arial" w:hAnsi="Arial"/>
          <w:color w:val="666666"/>
          <w:sz w:val="19"/>
          <w:szCs w:val="19"/>
        </w:rPr>
        <w:t xml:space="preserve">2.	</w:t>
      </w:r>
      <w:r>
        <w:rPr>
          <w:rFonts w:ascii="Arial" w:cs="Arial" w:eastAsia="Arial" w:hAnsi="Arial"/>
          <w:color w:val="111111"/>
          <w:sz w:val="19"/>
          <w:szCs w:val="19"/>
        </w:rPr>
        <w:t xml:space="preserve">You will support turnover under s. 718.301(4): the transfer of the association’s records, funds, contracts and warranties listed there.</w:t>
      </w:r>
    </w:p>
    <w:p>
      <w:pPr>
        <w:tabs>
          <w:tab w:val="left" w:pos="400"/>
        </w:tabs>
        <w:spacing w:after="100"/>
        <w:ind w:start="400" w:hanging="400"/>
      </w:pPr>
      <w:r>
        <w:rPr>
          <w:rFonts w:ascii="Arial" w:cs="Arial" w:eastAsia="Arial" w:hAnsi="Arial"/>
          <w:color w:val="666666"/>
          <w:sz w:val="19"/>
          <w:szCs w:val="19"/>
        </w:rPr>
        <w:t xml:space="preserve">3.	</w:t>
      </w:r>
      <w:r>
        <w:rPr>
          <w:rFonts w:ascii="Arial" w:cs="Arial" w:eastAsia="Arial" w:hAnsi="Arial"/>
          <w:color w:val="111111"/>
          <w:sz w:val="19"/>
          <w:szCs w:val="19"/>
        </w:rPr>
        <w:t xml:space="preserve">State the community association management firm license number and the license number of the manager you will assign to the building (s. 468.432).</w:t>
      </w:r>
    </w:p>
    <w:p>
      <w:pPr>
        <w:keepNext/>
        <w:spacing w:after="80" w:before="260"/>
      </w:pPr>
      <w:r>
        <w:rPr>
          <w:rFonts w:ascii="Arial" w:cs="Arial" w:eastAsia="Arial" w:hAnsi="Arial"/>
          <w:b/>
          <w:bCs/>
          <w:color w:val="111111"/>
          <w:sz w:val="22"/>
          <w:szCs w:val="22"/>
        </w:rPr>
        <w:t xml:space="preserve">Independence (25 %)</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536"/>
        <w:gridCol w:w="4032"/>
        <w:gridCol w:w="1512"/>
      </w:tblGrid>
      <w:tr>
        <w:trPr>
          <w:cantSplit/>
          <w:tblHeader/>
        </w:trPr>
        <w:tc>
          <w:tcPr>
            <w:tcW w:type="dxa" w:w="4536"/>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Question</w:t>
            </w:r>
          </w:p>
        </w:tc>
        <w:tc>
          <w:tcPr>
            <w:tcW w:type="dxa" w:w="4032"/>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Bidder’s answer</w:t>
            </w:r>
          </w:p>
        </w:tc>
        <w:tc>
          <w:tcPr>
            <w:tcW w:type="dxa" w:w="1512"/>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Score (owners)</w:t>
            </w:r>
          </w:p>
        </w:tc>
      </w:tr>
      <w:tr>
        <w:trPr>
          <w:cantSplit/>
          <w:trHeight w:val="520" w:hRule="atLeast"/>
        </w:trPr>
        <w:tc>
          <w:tcPr>
            <w:tcW w:type="dxa" w:w="4536"/>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Do you declare in writing any ownership, financial or family link to the developer, the sellers of units or the people making decisions on behalf of the owners?</w:t>
            </w:r>
          </w:p>
        </w:tc>
        <w:tc>
          <w:tcPr>
            <w:tcW w:type="dxa" w:w="403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51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536"/>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Is the contract term within what the law allows, and can the owners end it on notice without a penalty?</w:t>
            </w:r>
          </w:p>
        </w:tc>
        <w:tc>
          <w:tcPr>
            <w:tcW w:type="dxa" w:w="403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51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536"/>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Will you disclose when you give work to companies that you or the developer own?</w:t>
            </w:r>
          </w:p>
        </w:tc>
        <w:tc>
          <w:tcPr>
            <w:tcW w:type="dxa" w:w="403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51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Credentials and compliance (10 %)</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536"/>
        <w:gridCol w:w="4032"/>
        <w:gridCol w:w="1512"/>
      </w:tblGrid>
      <w:tr>
        <w:trPr>
          <w:cantSplit/>
          <w:tblHeader/>
        </w:trPr>
        <w:tc>
          <w:tcPr>
            <w:tcW w:type="dxa" w:w="4536"/>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Question</w:t>
            </w:r>
          </w:p>
        </w:tc>
        <w:tc>
          <w:tcPr>
            <w:tcW w:type="dxa" w:w="4032"/>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Bidder’s answer</w:t>
            </w:r>
          </w:p>
        </w:tc>
        <w:tc>
          <w:tcPr>
            <w:tcW w:type="dxa" w:w="1512"/>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Score (owners)</w:t>
            </w:r>
          </w:p>
        </w:tc>
      </w:tr>
      <w:tr>
        <w:trPr>
          <w:cantSplit/>
          <w:trHeight w:val="520" w:hRule="atLeast"/>
        </w:trPr>
        <w:tc>
          <w:tcPr>
            <w:tcW w:type="dxa" w:w="4536"/>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Do you and the person who will run our building hold the license or certificate that applies where we are (if any), and will you show us the number?</w:t>
            </w:r>
          </w:p>
        </w:tc>
        <w:tc>
          <w:tcPr>
            <w:tcW w:type="dxa" w:w="403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51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536"/>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Do you carry professional liability and fidelity (crime) insurance, and will you show us the certificate?</w:t>
            </w:r>
          </w:p>
        </w:tc>
        <w:tc>
          <w:tcPr>
            <w:tcW w:type="dxa" w:w="403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51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536"/>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Are you a member of a professional association with a code of conduct that owners can read?</w:t>
            </w:r>
          </w:p>
        </w:tc>
        <w:tc>
          <w:tcPr>
            <w:tcW w:type="dxa" w:w="403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51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Money handling (20 %)</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536"/>
        <w:gridCol w:w="4032"/>
        <w:gridCol w:w="1512"/>
      </w:tblGrid>
      <w:tr>
        <w:trPr>
          <w:cantSplit/>
          <w:tblHeader/>
        </w:trPr>
        <w:tc>
          <w:tcPr>
            <w:tcW w:type="dxa" w:w="4536"/>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Question</w:t>
            </w:r>
          </w:p>
        </w:tc>
        <w:tc>
          <w:tcPr>
            <w:tcW w:type="dxa" w:w="4032"/>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Bidder’s answer</w:t>
            </w:r>
          </w:p>
        </w:tc>
        <w:tc>
          <w:tcPr>
            <w:tcW w:type="dxa" w:w="1512"/>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Score (owners)</w:t>
            </w:r>
          </w:p>
        </w:tc>
      </w:tr>
      <w:tr>
        <w:trPr>
          <w:cantSplit/>
          <w:trHeight w:val="520" w:hRule="atLeast"/>
        </w:trPr>
        <w:tc>
          <w:tcPr>
            <w:tcW w:type="dxa" w:w="4536"/>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Will our building’s money be kept in a separate account in the association’s name, never mixed with your own funds?</w:t>
            </w:r>
          </w:p>
        </w:tc>
        <w:tc>
          <w:tcPr>
            <w:tcW w:type="dxa" w:w="403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51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536"/>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Will owners be able to see the bank statement and who owes what online, at any time? (digital, optional, half weight)</w:t>
            </w:r>
          </w:p>
        </w:tc>
        <w:tc>
          <w:tcPr>
            <w:tcW w:type="dxa" w:w="403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51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536"/>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Will you provide owners with a statement of income and spending every month, within a fixed number of days?</w:t>
            </w:r>
          </w:p>
        </w:tc>
        <w:tc>
          <w:tcPr>
            <w:tcW w:type="dxa" w:w="403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51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536"/>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Will the accounts be reviewed once a year by someone independent of you?</w:t>
            </w:r>
          </w:p>
        </w:tc>
        <w:tc>
          <w:tcPr>
            <w:tcW w:type="dxa" w:w="403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51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Reporting and governance (10 %)</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536"/>
        <w:gridCol w:w="4032"/>
        <w:gridCol w:w="1512"/>
      </w:tblGrid>
      <w:tr>
        <w:trPr>
          <w:cantSplit/>
          <w:tblHeader/>
        </w:trPr>
        <w:tc>
          <w:tcPr>
            <w:tcW w:type="dxa" w:w="4536"/>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Question</w:t>
            </w:r>
          </w:p>
        </w:tc>
        <w:tc>
          <w:tcPr>
            <w:tcW w:type="dxa" w:w="4032"/>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Bidder’s answer</w:t>
            </w:r>
          </w:p>
        </w:tc>
        <w:tc>
          <w:tcPr>
            <w:tcW w:type="dxa" w:w="1512"/>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Score (owners)</w:t>
            </w:r>
          </w:p>
        </w:tc>
      </w:tr>
      <w:tr>
        <w:trPr>
          <w:cantSplit/>
          <w:trHeight w:val="520" w:hRule="atLeast"/>
        </w:trPr>
        <w:tc>
          <w:tcPr>
            <w:tcW w:type="dxa" w:w="4536"/>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Will you deliver the annual budget and the year-end statement on time, in a form an owner can read?</w:t>
            </w:r>
          </w:p>
        </w:tc>
        <w:tc>
          <w:tcPr>
            <w:tcW w:type="dxa" w:w="403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51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536"/>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Will you keep a complete archive of minutes and resolutions that any owner can access?</w:t>
            </w:r>
          </w:p>
        </w:tc>
        <w:tc>
          <w:tcPr>
            <w:tcW w:type="dxa" w:w="403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51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536"/>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Will documents, minutes and contracts be kept in a portal for owners and the board instead of e-mail attachments? (digital, optional, half weight)</w:t>
            </w:r>
          </w:p>
        </w:tc>
        <w:tc>
          <w:tcPr>
            <w:tcW w:type="dxa" w:w="403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51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536"/>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Do you support online voting or remote participation in meetings, where the law allows? (digital, optional, half weight)</w:t>
            </w:r>
          </w:p>
        </w:tc>
        <w:tc>
          <w:tcPr>
            <w:tcW w:type="dxa" w:w="403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51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Service and response (10 %)</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536"/>
        <w:gridCol w:w="4032"/>
        <w:gridCol w:w="1512"/>
      </w:tblGrid>
      <w:tr>
        <w:trPr>
          <w:cantSplit/>
          <w:tblHeader/>
        </w:trPr>
        <w:tc>
          <w:tcPr>
            <w:tcW w:type="dxa" w:w="4536"/>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Question</w:t>
            </w:r>
          </w:p>
        </w:tc>
        <w:tc>
          <w:tcPr>
            <w:tcW w:type="dxa" w:w="4032"/>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Bidder’s answer</w:t>
            </w:r>
          </w:p>
        </w:tc>
        <w:tc>
          <w:tcPr>
            <w:tcW w:type="dxa" w:w="1512"/>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Score (owners)</w:t>
            </w:r>
          </w:p>
        </w:tc>
      </w:tr>
      <w:tr>
        <w:trPr>
          <w:cantSplit/>
          <w:trHeight w:val="520" w:hRule="atLeast"/>
        </w:trPr>
        <w:tc>
          <w:tcPr>
            <w:tcW w:type="dxa" w:w="4536"/>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Will you assign a named manager to our building, and how many buildings or units does that person run?</w:t>
            </w:r>
          </w:p>
        </w:tc>
        <w:tc>
          <w:tcPr>
            <w:tcW w:type="dxa" w:w="403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51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536"/>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Do you have a backup person and an out-of-hours route for burst pipes, elevators and power cuts?</w:t>
            </w:r>
          </w:p>
        </w:tc>
        <w:tc>
          <w:tcPr>
            <w:tcW w:type="dxa" w:w="403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51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536"/>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Will requests be logged with a reference number, and will the resident be able to see the status? (digital, optional, half weight)</w:t>
            </w:r>
          </w:p>
        </w:tc>
        <w:tc>
          <w:tcPr>
            <w:tcW w:type="dxa" w:w="403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51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536"/>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Will you report response and resolution times to the board every month?</w:t>
            </w:r>
          </w:p>
        </w:tc>
        <w:tc>
          <w:tcPr>
            <w:tcW w:type="dxa" w:w="403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51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Handover readiness (15 %)</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536"/>
        <w:gridCol w:w="4032"/>
        <w:gridCol w:w="1512"/>
      </w:tblGrid>
      <w:tr>
        <w:trPr>
          <w:cantSplit/>
          <w:tblHeader/>
        </w:trPr>
        <w:tc>
          <w:tcPr>
            <w:tcW w:type="dxa" w:w="4536"/>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Question</w:t>
            </w:r>
          </w:p>
        </w:tc>
        <w:tc>
          <w:tcPr>
            <w:tcW w:type="dxa" w:w="4032"/>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Bidder’s answer</w:t>
            </w:r>
          </w:p>
        </w:tc>
        <w:tc>
          <w:tcPr>
            <w:tcW w:type="dxa" w:w="1512"/>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Score (owners)</w:t>
            </w:r>
          </w:p>
        </w:tc>
      </w:tr>
      <w:tr>
        <w:trPr>
          <w:cantSplit/>
          <w:trHeight w:val="520" w:hRule="atLeast"/>
        </w:trPr>
        <w:tc>
          <w:tcPr>
            <w:tcW w:type="dxa" w:w="4536"/>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Will you take over the common parts, keys and technical documents from the developer or the previous manager in a signed protocol?</w:t>
            </w:r>
          </w:p>
        </w:tc>
        <w:tc>
          <w:tcPr>
            <w:tcW w:type="dxa" w:w="403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51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536"/>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Will you track defects and warranty claims with deadlines, and pursue them with the builder?</w:t>
            </w:r>
          </w:p>
        </w:tc>
        <w:tc>
          <w:tcPr>
            <w:tcW w:type="dxa" w:w="403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51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536"/>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Will you collect and keep the as-built drawings and the technical file of our building?</w:t>
            </w:r>
          </w:p>
        </w:tc>
        <w:tc>
          <w:tcPr>
            <w:tcW w:type="dxa" w:w="403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51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536"/>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Will owners be able to see the defects being worked on, with their status? (digital, optional, half weight)</w:t>
            </w:r>
          </w:p>
        </w:tc>
        <w:tc>
          <w:tcPr>
            <w:tcW w:type="dxa" w:w="403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51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Price transparency (5 %)</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536"/>
        <w:gridCol w:w="4032"/>
        <w:gridCol w:w="1512"/>
      </w:tblGrid>
      <w:tr>
        <w:trPr>
          <w:cantSplit/>
          <w:tblHeader/>
        </w:trPr>
        <w:tc>
          <w:tcPr>
            <w:tcW w:type="dxa" w:w="4536"/>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Question</w:t>
            </w:r>
          </w:p>
        </w:tc>
        <w:tc>
          <w:tcPr>
            <w:tcW w:type="dxa" w:w="4032"/>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Bidder’s answer</w:t>
            </w:r>
          </w:p>
        </w:tc>
        <w:tc>
          <w:tcPr>
            <w:tcW w:type="dxa" w:w="1512"/>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Score (owners)</w:t>
            </w:r>
          </w:p>
        </w:tc>
      </w:tr>
      <w:tr>
        <w:trPr>
          <w:cantSplit/>
          <w:trHeight w:val="520" w:hRule="atLeast"/>
        </w:trPr>
        <w:tc>
          <w:tcPr>
            <w:tcW w:type="dxa" w:w="4536"/>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Is your fee itemized, with what is included written down?</w:t>
            </w:r>
          </w:p>
        </w:tc>
        <w:tc>
          <w:tcPr>
            <w:tcW w:type="dxa" w:w="403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51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536"/>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Are extra charges and any percentage charged on major works stated up front, with no open-ended add-ons?</w:t>
            </w:r>
          </w:p>
        </w:tc>
        <w:tc>
          <w:tcPr>
            <w:tcW w:type="dxa" w:w="403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51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536"/>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Is the yearly increase tied to a stated index or cap, and will you show last year’s actual workload so offers can be compared like for like?</w:t>
            </w:r>
          </w:p>
        </w:tc>
        <w:tc>
          <w:tcPr>
            <w:tcW w:type="dxa" w:w="403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51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Proof (5 %)</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536"/>
        <w:gridCol w:w="4032"/>
        <w:gridCol w:w="1512"/>
      </w:tblGrid>
      <w:tr>
        <w:trPr>
          <w:cantSplit/>
          <w:tblHeader/>
        </w:trPr>
        <w:tc>
          <w:tcPr>
            <w:tcW w:type="dxa" w:w="4536"/>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Question</w:t>
            </w:r>
          </w:p>
        </w:tc>
        <w:tc>
          <w:tcPr>
            <w:tcW w:type="dxa" w:w="4032"/>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Bidder’s answer</w:t>
            </w:r>
          </w:p>
        </w:tc>
        <w:tc>
          <w:tcPr>
            <w:tcW w:type="dxa" w:w="1512"/>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Score (owners)</w:t>
            </w:r>
          </w:p>
        </w:tc>
      </w:tr>
      <w:tr>
        <w:trPr>
          <w:cantSplit/>
          <w:trHeight w:val="520" w:hRule="atLeast"/>
        </w:trPr>
        <w:tc>
          <w:tcPr>
            <w:tcW w:type="dxa" w:w="4536"/>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Can you give references from buildings of a similar size and age, and say how many years you have been in business?</w:t>
            </w:r>
          </w:p>
        </w:tc>
        <w:tc>
          <w:tcPr>
            <w:tcW w:type="dxa" w:w="403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51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536"/>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Will you show us a live demo of what owners and residents actually see? (digital, optional, half weight)</w:t>
            </w:r>
          </w:p>
        </w:tc>
        <w:tc>
          <w:tcPr>
            <w:tcW w:type="dxa" w:w="403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51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536"/>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Do you know, and will you tell us, how many owners actually use online payment and the app? (digital, optional, half weight)</w:t>
            </w:r>
          </w:p>
        </w:tc>
        <w:tc>
          <w:tcPr>
            <w:tcW w:type="dxa" w:w="403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51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Fees</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24"/>
        <w:gridCol w:w="3528"/>
        <w:gridCol w:w="3528"/>
      </w:tblGrid>
      <w:tr>
        <w:trPr>
          <w:cantSplit/>
          <w:tblHeader/>
        </w:trPr>
        <w:tc>
          <w:tcPr>
            <w:tcW w:type="dxa" w:w="3024"/>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Item</w:t>
            </w:r>
          </w:p>
        </w:tc>
        <w:tc>
          <w:tcPr>
            <w:tcW w:type="dxa" w:w="3528"/>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Amount</w:t>
            </w:r>
          </w:p>
        </w:tc>
        <w:tc>
          <w:tcPr>
            <w:tcW w:type="dxa" w:w="3528"/>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Notes</w:t>
            </w:r>
          </w:p>
        </w:tc>
      </w:tr>
      <w:tr>
        <w:trPr>
          <w:cantSplit/>
          <w:trHeight w:val="520" w:hRule="atLeast"/>
        </w:trPr>
        <w:tc>
          <w:tcPr>
            <w:tcW w:type="dxa" w:w="3024"/>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Monthly management fee</w:t>
            </w:r>
          </w:p>
        </w:tc>
        <w:tc>
          <w:tcPr>
            <w:tcW w:type="dxa" w:w="352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352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3024"/>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Accounting and annual statement</w:t>
            </w:r>
          </w:p>
        </w:tc>
        <w:tc>
          <w:tcPr>
            <w:tcW w:type="dxa" w:w="352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352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3024"/>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Handover and setup before owners move in</w:t>
            </w:r>
          </w:p>
        </w:tc>
        <w:tc>
          <w:tcPr>
            <w:tcW w:type="dxa" w:w="352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352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3024"/>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Extra services (hourly rate)</w:t>
            </w:r>
          </w:p>
        </w:tc>
        <w:tc>
          <w:tcPr>
            <w:tcW w:type="dxa" w:w="352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352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3024"/>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Share charged on major works</w:t>
            </w:r>
          </w:p>
        </w:tc>
        <w:tc>
          <w:tcPr>
            <w:tcW w:type="dxa" w:w="352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352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3024"/>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Yearly increase and its index</w:t>
            </w:r>
          </w:p>
        </w:tc>
        <w:tc>
          <w:tcPr>
            <w:tcW w:type="dxa" w:w="352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352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3024"/>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Fee if the contract ends early</w:t>
            </w:r>
          </w:p>
        </w:tc>
        <w:tc>
          <w:tcPr>
            <w:tcW w:type="dxa" w:w="352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352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How offers will be scored</w:t>
      </w:r>
    </w:p>
    <w:p>
      <w:pPr>
        <w:tabs>
          <w:tab w:val="left" w:pos="400"/>
        </w:tabs>
        <w:spacing w:after="100"/>
        <w:ind w:start="400" w:hanging="400"/>
      </w:pPr>
      <w:r>
        <w:rPr>
          <w:rFonts w:ascii="Arial" w:cs="Arial" w:eastAsia="Arial" w:hAnsi="Arial"/>
          <w:color w:val="666666"/>
          <w:sz w:val="19"/>
          <w:szCs w:val="19"/>
        </w:rPr>
        <w:t xml:space="preserve">1.	</w:t>
      </w:r>
      <w:r>
        <w:rPr>
          <w:rFonts w:ascii="Arial" w:cs="Arial" w:eastAsia="Arial" w:hAnsi="Arial"/>
          <w:color w:val="111111"/>
          <w:sz w:val="19"/>
          <w:szCs w:val="19"/>
        </w:rPr>
        <w:t xml:space="preserve">Independence: 25 %</w:t>
      </w:r>
    </w:p>
    <w:p>
      <w:pPr>
        <w:tabs>
          <w:tab w:val="left" w:pos="400"/>
        </w:tabs>
        <w:spacing w:after="100"/>
        <w:ind w:start="400" w:hanging="400"/>
      </w:pPr>
      <w:r>
        <w:rPr>
          <w:rFonts w:ascii="Arial" w:cs="Arial" w:eastAsia="Arial" w:hAnsi="Arial"/>
          <w:color w:val="666666"/>
          <w:sz w:val="19"/>
          <w:szCs w:val="19"/>
        </w:rPr>
        <w:t xml:space="preserve">2.	</w:t>
      </w:r>
      <w:r>
        <w:rPr>
          <w:rFonts w:ascii="Arial" w:cs="Arial" w:eastAsia="Arial" w:hAnsi="Arial"/>
          <w:color w:val="111111"/>
          <w:sz w:val="19"/>
          <w:szCs w:val="19"/>
        </w:rPr>
        <w:t xml:space="preserve">Credentials and compliance: 10 %</w:t>
      </w:r>
    </w:p>
    <w:p>
      <w:pPr>
        <w:tabs>
          <w:tab w:val="left" w:pos="400"/>
        </w:tabs>
        <w:spacing w:after="100"/>
        <w:ind w:start="400" w:hanging="400"/>
      </w:pPr>
      <w:r>
        <w:rPr>
          <w:rFonts w:ascii="Arial" w:cs="Arial" w:eastAsia="Arial" w:hAnsi="Arial"/>
          <w:color w:val="666666"/>
          <w:sz w:val="19"/>
          <w:szCs w:val="19"/>
        </w:rPr>
        <w:t xml:space="preserve">3.	</w:t>
      </w:r>
      <w:r>
        <w:rPr>
          <w:rFonts w:ascii="Arial" w:cs="Arial" w:eastAsia="Arial" w:hAnsi="Arial"/>
          <w:color w:val="111111"/>
          <w:sz w:val="19"/>
          <w:szCs w:val="19"/>
        </w:rPr>
        <w:t xml:space="preserve">Money handling: 20 %</w:t>
      </w:r>
    </w:p>
    <w:p>
      <w:pPr>
        <w:tabs>
          <w:tab w:val="left" w:pos="400"/>
        </w:tabs>
        <w:spacing w:after="100"/>
        <w:ind w:start="400" w:hanging="400"/>
      </w:pPr>
      <w:r>
        <w:rPr>
          <w:rFonts w:ascii="Arial" w:cs="Arial" w:eastAsia="Arial" w:hAnsi="Arial"/>
          <w:color w:val="666666"/>
          <w:sz w:val="19"/>
          <w:szCs w:val="19"/>
        </w:rPr>
        <w:t xml:space="preserve">4.	</w:t>
      </w:r>
      <w:r>
        <w:rPr>
          <w:rFonts w:ascii="Arial" w:cs="Arial" w:eastAsia="Arial" w:hAnsi="Arial"/>
          <w:color w:val="111111"/>
          <w:sz w:val="19"/>
          <w:szCs w:val="19"/>
        </w:rPr>
        <w:t xml:space="preserve">Reporting and governance: 10 %</w:t>
      </w:r>
    </w:p>
    <w:p>
      <w:pPr>
        <w:tabs>
          <w:tab w:val="left" w:pos="400"/>
        </w:tabs>
        <w:spacing w:after="100"/>
        <w:ind w:start="400" w:hanging="400"/>
      </w:pPr>
      <w:r>
        <w:rPr>
          <w:rFonts w:ascii="Arial" w:cs="Arial" w:eastAsia="Arial" w:hAnsi="Arial"/>
          <w:color w:val="666666"/>
          <w:sz w:val="19"/>
          <w:szCs w:val="19"/>
        </w:rPr>
        <w:t xml:space="preserve">5.	</w:t>
      </w:r>
      <w:r>
        <w:rPr>
          <w:rFonts w:ascii="Arial" w:cs="Arial" w:eastAsia="Arial" w:hAnsi="Arial"/>
          <w:color w:val="111111"/>
          <w:sz w:val="19"/>
          <w:szCs w:val="19"/>
        </w:rPr>
        <w:t xml:space="preserve">Service and response: 10 %</w:t>
      </w:r>
    </w:p>
    <w:p>
      <w:pPr>
        <w:tabs>
          <w:tab w:val="left" w:pos="400"/>
        </w:tabs>
        <w:spacing w:after="100"/>
        <w:ind w:start="400" w:hanging="400"/>
      </w:pPr>
      <w:r>
        <w:rPr>
          <w:rFonts w:ascii="Arial" w:cs="Arial" w:eastAsia="Arial" w:hAnsi="Arial"/>
          <w:color w:val="666666"/>
          <w:sz w:val="19"/>
          <w:szCs w:val="19"/>
        </w:rPr>
        <w:t xml:space="preserve">6.	</w:t>
      </w:r>
      <w:r>
        <w:rPr>
          <w:rFonts w:ascii="Arial" w:cs="Arial" w:eastAsia="Arial" w:hAnsi="Arial"/>
          <w:color w:val="111111"/>
          <w:sz w:val="19"/>
          <w:szCs w:val="19"/>
        </w:rPr>
        <w:t xml:space="preserve">Handover readiness: 15 %</w:t>
      </w:r>
    </w:p>
    <w:p>
      <w:pPr>
        <w:tabs>
          <w:tab w:val="left" w:pos="400"/>
        </w:tabs>
        <w:spacing w:after="100"/>
        <w:ind w:start="400" w:hanging="400"/>
      </w:pPr>
      <w:r>
        <w:rPr>
          <w:rFonts w:ascii="Arial" w:cs="Arial" w:eastAsia="Arial" w:hAnsi="Arial"/>
          <w:color w:val="666666"/>
          <w:sz w:val="19"/>
          <w:szCs w:val="19"/>
        </w:rPr>
        <w:t xml:space="preserve">7.	</w:t>
      </w:r>
      <w:r>
        <w:rPr>
          <w:rFonts w:ascii="Arial" w:cs="Arial" w:eastAsia="Arial" w:hAnsi="Arial"/>
          <w:color w:val="111111"/>
          <w:sz w:val="19"/>
          <w:szCs w:val="19"/>
        </w:rPr>
        <w:t xml:space="preserve">Price transparency: 5 %</w:t>
      </w:r>
    </w:p>
    <w:p>
      <w:pPr>
        <w:tabs>
          <w:tab w:val="left" w:pos="400"/>
        </w:tabs>
        <w:spacing w:after="100"/>
        <w:ind w:start="400" w:hanging="400"/>
      </w:pPr>
      <w:r>
        <w:rPr>
          <w:rFonts w:ascii="Arial" w:cs="Arial" w:eastAsia="Arial" w:hAnsi="Arial"/>
          <w:color w:val="666666"/>
          <w:sz w:val="19"/>
          <w:szCs w:val="19"/>
        </w:rPr>
        <w:t xml:space="preserve">8.	</w:t>
      </w:r>
      <w:r>
        <w:rPr>
          <w:rFonts w:ascii="Arial" w:cs="Arial" w:eastAsia="Arial" w:hAnsi="Arial"/>
          <w:color w:val="111111"/>
          <w:sz w:val="19"/>
          <w:szCs w:val="19"/>
        </w:rPr>
        <w:t xml:space="preserve">Proof: 5 %</w:t>
      </w:r>
    </w:p>
    <w:p>
      <w:pPr>
        <w:keepNext/>
        <w:spacing w:after="80" w:before="260"/>
      </w:pPr>
      <w:r>
        <w:rPr>
          <w:rFonts w:ascii="Arial" w:cs="Arial" w:eastAsia="Arial" w:hAnsi="Arial"/>
          <w:b/>
          <w:bCs/>
          <w:color w:val="111111"/>
          <w:sz w:val="22"/>
          <w:szCs w:val="22"/>
        </w:rPr>
        <w:t xml:space="preserve">Declaration of independence</w:t>
      </w:r>
    </w:p>
    <w:p>
      <w:pPr>
        <w:spacing w:after="100"/>
        <w:ind w:start="360" w:hanging="36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111"/>
          <w:sz w:val="19"/>
          <w:szCs w:val="19"/>
        </w:rPr>
        <w:t xml:space="preserve">  The bidder has no ownership, financial or family link to the developer, the sellers of units or the people deciding for the owners, except as listed below.</w:t>
      </w:r>
    </w:p>
    <w:p>
      <w:pPr>
        <w:spacing w:after="100"/>
        <w:ind w:start="360" w:hanging="36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111"/>
          <w:sz w:val="19"/>
          <w:szCs w:val="19"/>
        </w:rPr>
        <w:t xml:space="preserve">  The bidder will disclose in writing any contractor it gives work to in which it or the developer has an interest.</w:t>
      </w:r>
    </w:p>
    <w:p>
      <w:pPr>
        <w:spacing w:after="100"/>
        <w:ind w:start="360" w:hanging="36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111"/>
          <w:sz w:val="19"/>
          <w:szCs w:val="19"/>
        </w:rPr>
        <w:t xml:space="preserve">  Links to disclose (write “none” if there are none):</w:t>
      </w:r>
    </w:p>
    <w:p>
      <w:pPr>
        <w:keepNext/>
        <w:spacing w:after="80" w:before="260"/>
      </w:pPr>
      <w:r>
        <w:rPr>
          <w:rFonts w:ascii="Arial" w:cs="Arial" w:eastAsia="Arial" w:hAnsi="Arial"/>
          <w:b/>
          <w:bCs/>
          <w:color w:val="111111"/>
          <w:sz w:val="22"/>
          <w:szCs w:val="22"/>
        </w:rPr>
        <w:t xml:space="preserve">References</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400"/>
        <w:gridCol w:w="4340"/>
        <w:gridCol w:w="4340"/>
      </w:tblGrid>
      <w:tr>
        <w:trPr>
          <w:cantSplit/>
          <w:tblHeader/>
        </w:trPr>
        <w:tc>
          <w:tcPr>
            <w:tcW w:type="dxa" w:w="1400"/>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Building or client</w:t>
            </w:r>
          </w:p>
        </w:tc>
        <w:tc>
          <w:tcPr>
            <w:tcW w:type="dxa" w:w="4340"/>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Units and years under management</w:t>
            </w:r>
          </w:p>
        </w:tc>
        <w:tc>
          <w:tcPr>
            <w:tcW w:type="dxa" w:w="4340"/>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Contact</w:t>
            </w:r>
          </w:p>
        </w:tc>
      </w:tr>
      <w:tr>
        <w:trPr>
          <w:cantSplit/>
          <w:trHeight w:val="520" w:hRule="atLeast"/>
        </w:trPr>
        <w:tc>
          <w:tcPr>
            <w:tcW w:type="dxa" w:w="1400"/>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666666"/>
                <w:sz w:val="17"/>
                <w:szCs w:val="17"/>
              </w:rPr>
              <w:t xml:space="preserve">1</w:t>
            </w:r>
          </w:p>
        </w:tc>
        <w:tc>
          <w:tcPr>
            <w:tcW w:type="dxa" w:w="4340"/>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4340"/>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1400"/>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666666"/>
                <w:sz w:val="17"/>
                <w:szCs w:val="17"/>
              </w:rPr>
              <w:t xml:space="preserve">2</w:t>
            </w:r>
          </w:p>
        </w:tc>
        <w:tc>
          <w:tcPr>
            <w:tcW w:type="dxa" w:w="4340"/>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4340"/>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1400"/>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666666"/>
                <w:sz w:val="17"/>
                <w:szCs w:val="17"/>
              </w:rPr>
              <w:t xml:space="preserve">3</w:t>
            </w:r>
          </w:p>
        </w:tc>
        <w:tc>
          <w:tcPr>
            <w:tcW w:type="dxa" w:w="4340"/>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4340"/>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spacing w:after="0" w:before="300"/>
      </w:pPr>
      <w:r>
        <w:rPr>
          <w:rFonts w:ascii="Arial" w:cs="Arial" w:eastAsia="Arial" w:hAnsi="Arial"/>
          <w:color w:val="111111"/>
          <w:sz w:val="19"/>
          <w:szCs w:val="19"/>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840"/>
        <w:gridCol w:w="400"/>
        <w:gridCol w:w="4840"/>
      </w:tblGrid>
      <w:tr>
        <w:trPr>
          <w:cantSplit/>
        </w:trPr>
        <w:tc>
          <w:tcPr>
            <w:tcW w:type="dxa" w:w="4840"/>
            <w:tcBorders>
              <w:top w:val="none" w:color="FFFFFF" w:sz="0"/>
              <w:left w:val="none" w:color="FFFFFF" w:sz="0"/>
              <w:bottom w:val="none" w:color="FFFFFF" w:sz="0"/>
              <w:right w:val="none" w:color="FFFFFF" w:sz="0"/>
            </w:tcBorders>
            <w:tcMar>
              <w:top w:type="dxa" w:w="0"/>
              <w:left w:type="dxa" w:w="0"/>
              <w:bottom w:type="dxa" w:w="0"/>
              <w:right w:type="dxa" w:w="0"/>
            </w:tcMar>
          </w:tcPr>
          <w:p>
            <w:pPr>
              <w:keepNext/>
              <w:spacing w:after="0" w:before="0"/>
            </w:pPr>
            <w:r>
              <w:rPr>
                <w:rFonts w:ascii="Arial" w:cs="Arial" w:eastAsia="Arial" w:hAnsi="Arial"/>
                <w:b/>
                <w:bCs/>
                <w:color w:val="111111"/>
                <w:sz w:val="19"/>
                <w:szCs w:val="19"/>
              </w:rPr>
              <w:t xml:space="preserve">For the developer (name, role, date)</w:t>
            </w:r>
          </w:p>
          <w:p>
            <w:pPr>
              <w:keepNext/>
              <w:pBdr>
                <w:bottom w:val="single" w:color="111111" w:sz="6" w:space="1"/>
              </w:pBdr>
              <w:spacing w:after="40" w:before="560"/>
            </w:pPr>
            <w:r>
              <w:rPr>
                <w:rFonts w:ascii="Arial" w:cs="Arial" w:eastAsia="Arial" w:hAnsi="Arial"/>
                <w:color w:val="111111"/>
                <w:sz w:val="19"/>
                <w:szCs w:val="19"/>
              </w:rPr>
              <w:t xml:space="preserve"> </w:t>
            </w:r>
          </w:p>
          <w:p>
            <w:pPr>
              <w:spacing w:after="0" w:before="0"/>
            </w:pPr>
            <w:r>
              <w:rPr>
                <w:rFonts w:ascii="Arial" w:cs="Arial" w:eastAsia="Arial" w:hAnsi="Arial"/>
                <w:color w:val="666666"/>
                <w:sz w:val="15"/>
                <w:szCs w:val="15"/>
              </w:rPr>
              <w:t xml:space="preserve">Signature</w:t>
            </w:r>
          </w:p>
        </w:tc>
        <w:tc>
          <w:tcPr>
            <w:tcW w:type="dxa" w:w="400"/>
            <w:tcBorders>
              <w:top w:val="none" w:color="FFFFFF" w:sz="0"/>
              <w:left w:val="none" w:color="FFFFFF" w:sz="0"/>
              <w:bottom w:val="none" w:color="FFFFFF" w:sz="0"/>
              <w:right w:val="none" w:color="FFFFFF" w:sz="0"/>
            </w:tcBorders>
          </w:tcPr>
          <w:p>
            <w:pPr>
              <w:spacing w:after="0" w:before="0"/>
            </w:pPr>
            <w:r>
              <w:rPr>
                <w:rFonts w:ascii="Arial" w:cs="Arial" w:eastAsia="Arial" w:hAnsi="Arial"/>
                <w:color w:val="111111"/>
                <w:sz w:val="19"/>
                <w:szCs w:val="19"/>
              </w:rPr>
              <w:t xml:space="preserve"/>
            </w:r>
          </w:p>
        </w:tc>
        <w:tc>
          <w:tcPr>
            <w:tcW w:type="dxa" w:w="4840"/>
            <w:tcBorders>
              <w:top w:val="none" w:color="FFFFFF" w:sz="0"/>
              <w:left w:val="none" w:color="FFFFFF" w:sz="0"/>
              <w:bottom w:val="none" w:color="FFFFFF" w:sz="0"/>
              <w:right w:val="none" w:color="FFFFFF" w:sz="0"/>
            </w:tcBorders>
            <w:tcMar>
              <w:top w:type="dxa" w:w="0"/>
              <w:left w:type="dxa" w:w="0"/>
              <w:bottom w:type="dxa" w:w="0"/>
              <w:right w:type="dxa" w:w="0"/>
            </w:tcMar>
          </w:tcPr>
          <w:p>
            <w:pPr>
              <w:keepNext/>
              <w:spacing w:after="0" w:before="0"/>
            </w:pPr>
            <w:r>
              <w:rPr>
                <w:rFonts w:ascii="Arial" w:cs="Arial" w:eastAsia="Arial" w:hAnsi="Arial"/>
                <w:b/>
                <w:bCs/>
                <w:color w:val="111111"/>
                <w:sz w:val="19"/>
                <w:szCs w:val="19"/>
              </w:rPr>
              <w:t xml:space="preserve">For the bidder (name, role, date)</w:t>
            </w:r>
          </w:p>
          <w:p>
            <w:pPr>
              <w:keepNext/>
              <w:pBdr>
                <w:bottom w:val="single" w:color="111111" w:sz="6" w:space="1"/>
              </w:pBdr>
              <w:spacing w:after="40" w:before="560"/>
            </w:pPr>
            <w:r>
              <w:rPr>
                <w:rFonts w:ascii="Arial" w:cs="Arial" w:eastAsia="Arial" w:hAnsi="Arial"/>
                <w:color w:val="111111"/>
                <w:sz w:val="19"/>
                <w:szCs w:val="19"/>
              </w:rPr>
              <w:t xml:space="preserve"> </w:t>
            </w:r>
          </w:p>
          <w:p>
            <w:pPr>
              <w:spacing w:after="0" w:before="0"/>
            </w:pPr>
            <w:r>
              <w:rPr>
                <w:rFonts w:ascii="Arial" w:cs="Arial" w:eastAsia="Arial" w:hAnsi="Arial"/>
                <w:color w:val="666666"/>
                <w:sz w:val="15"/>
                <w:szCs w:val="15"/>
              </w:rPr>
              <w:t xml:space="preserve">Signature</w:t>
            </w:r>
          </w:p>
        </w:tc>
      </w:tr>
    </w:tbl>
    <w:p>
      <w:pPr>
        <w:pBdr>
          <w:top w:val="single" w:color="9A9A9A" w:sz="4" w:space="1"/>
        </w:pBdr>
        <w:spacing w:before="360"/>
      </w:pPr>
      <w:r>
        <w:rPr>
          <w:rFonts w:ascii="Arial" w:cs="Arial" w:eastAsia="Arial" w:hAnsi="Arial"/>
          <w:color w:val="444444"/>
          <w:sz w:val="16"/>
          <w:szCs w:val="16"/>
        </w:rPr>
        <w:t xml:space="preserve">This template is general information, not legal advice. Statute references are to the Florida condominium act (Chapter 718) and the community association management act (Part VIII of Chapter 468). Have an attorney check it before you send it.</w:t>
      </w:r>
    </w:p>
    <w:sectPr>
      <w:footerReference w:type="default" r:id="rId6"/>
      <w:pgSz w:w="12240" w:h="15840" w:orient="portrait"/>
      <w:pgMar w:top="1080" w:right="1080" w:bottom="1080" w:left="1080" w:header="708" w:footer="48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8C8C8" w:sz="2" w:space="1"/>
      </w:pBdr>
      <w:tabs>
        <w:tab w:val="right" w:pos="10080"/>
      </w:tabs>
      <w:bidi w:val="false"/>
    </w:pPr>
    <w:r>
      <w:rPr>
        <w:rFonts w:ascii="Arial" w:cs="Arial" w:eastAsia="Arial" w:hAnsi="Arial"/>
        <w:color w:val="666666"/>
        <w:sz w:val="15"/>
        <w:szCs w:val="15"/>
      </w:rPr>
      <w:t xml:space="preserve">unitify.com · https://unitify.com/management-company/developer-turnover-hoa-management-company · Template version: October 2026</w:t>
    </w:r>
    <w:r>
      <w:rPr>
        <w:rFonts w:ascii="Arial" w:cs="Arial" w:eastAsia="Arial" w:hAnsi="Arial"/>
        <w:color w:val="666666"/>
        <w:sz w:val="15"/>
        <w:szCs w:val="15"/>
      </w:rPr>
      <w:t xml:space="preserve">	</w:t>
    </w:r>
    <w:r>
      <w:rPr>
        <w:rFonts w:ascii="Arial" w:cs="Arial" w:eastAsia="Arial" w:hAnsi="Arial"/>
        <w:color w:val="666666"/>
        <w:sz w:val="15"/>
        <w:szCs w:val="15"/>
      </w:rPr>
      <w:fldChar w:fldCharType="begin"/>
    </w:r>
    <w:r>
      <w:rPr>
        <w:rFonts w:ascii="Arial" w:cs="Arial" w:eastAsia="Arial" w:hAnsi="Arial"/>
        <w:color w:val="666666"/>
        <w:sz w:val="15"/>
        <w:szCs w:val="15"/>
      </w:rPr>
      <w:instrText xml:space="preserve">PAGE</w:instrText>
    </w:r>
    <w:r>
      <w:rPr>
        <w:rFonts w:ascii="Arial" w:cs="Arial" w:eastAsia="Arial" w:hAnsi="Arial"/>
        <w:color w:val="666666"/>
        <w:sz w:val="15"/>
        <w:szCs w:val="15"/>
      </w:rPr>
      <w:fldChar w:fldCharType="separate"/>
    </w:r>
    <w:r>
      <w:rPr>
        <w:rFonts w:ascii="Arial" w:cs="Arial" w:eastAsia="Arial" w:hAnsi="Arial"/>
        <w:color w:val="666666"/>
        <w:sz w:val="15"/>
        <w:szCs w:val="15"/>
      </w:rPr>
      <w:fldChar w:fldCharType="end"/>
    </w:r>
    <w:r>
      <w:rPr>
        <w:rFonts w:ascii="Arial" w:cs="Arial" w:eastAsia="Arial" w:hAnsi="Arial"/>
        <w:color w:val="666666"/>
        <w:sz w:val="15"/>
        <w:szCs w:val="15"/>
      </w:rPr>
      <w:t xml:space="preserve"> / </w:t>
    </w:r>
    <w:r>
      <w:rPr>
        <w:rFonts w:ascii="Arial" w:cs="Arial" w:eastAsia="Arial" w:hAnsi="Arial"/>
        <w:color w:val="666666"/>
        <w:sz w:val="15"/>
        <w:szCs w:val="15"/>
      </w:rPr>
      <w:fldChar w:fldCharType="begin"/>
    </w:r>
    <w:r>
      <w:rPr>
        <w:rFonts w:ascii="Arial" w:cs="Arial" w:eastAsia="Arial" w:hAnsi="Arial"/>
        <w:color w:val="666666"/>
        <w:sz w:val="15"/>
        <w:szCs w:val="15"/>
      </w:rPr>
      <w:instrText xml:space="preserve">NUMPAGES</w:instrText>
    </w:r>
    <w:r>
      <w:rPr>
        <w:rFonts w:ascii="Arial" w:cs="Arial" w:eastAsia="Arial" w:hAnsi="Arial"/>
        <w:color w:val="666666"/>
        <w:sz w:val="15"/>
        <w:szCs w:val="15"/>
      </w:rPr>
      <w:fldChar w:fldCharType="separate"/>
    </w:r>
    <w:r>
      <w:rPr>
        <w:rFonts w:ascii="Arial" w:cs="Arial" w:eastAsia="Arial" w:hAnsi="Arial"/>
        <w:color w:val="666666"/>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11111"/>
        <w:sz w:val="19"/>
        <w:szCs w:val="19"/>
        <w:lang w:val="en-US"/>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190"/>
    </w:pPr>
  </w:style>
  <w:style w:type="paragraph" w:styleId="TOC3">
    <w:name w:val="toc 3"/>
    <w:basedOn w:val="Normal"/>
    <w:next w:val="Normal"/>
    <w:uiPriority w:val="39"/>
    <w:semiHidden/>
    <w:unhideWhenUsed/>
    <w:pPr>
      <w:spacing w:after="100"/>
      <w:ind w:left="380"/>
    </w:pPr>
  </w:style>
  <w:style w:type="paragraph" w:styleId="TOC4">
    <w:name w:val="toc 4"/>
    <w:basedOn w:val="Normal"/>
    <w:next w:val="Normal"/>
    <w:uiPriority w:val="39"/>
    <w:semiHidden/>
    <w:unhideWhenUsed/>
    <w:pPr>
      <w:spacing w:after="100"/>
      <w:ind w:left="570"/>
    </w:pPr>
  </w:style>
  <w:style w:type="paragraph" w:styleId="TOC5">
    <w:name w:val="toc 5"/>
    <w:basedOn w:val="Normal"/>
    <w:next w:val="Normal"/>
    <w:uiPriority w:val="39"/>
    <w:semiHidden/>
    <w:unhideWhenUsed/>
    <w:pPr>
      <w:spacing w:after="100"/>
      <w:ind w:left="760"/>
    </w:pPr>
  </w:style>
  <w:style w:type="paragraph" w:styleId="TOC6">
    <w:name w:val="toc 6"/>
    <w:basedOn w:val="Normal"/>
    <w:next w:val="Normal"/>
    <w:uiPriority w:val="39"/>
    <w:semiHidden/>
    <w:unhideWhenUsed/>
    <w:pPr>
      <w:spacing w:after="100"/>
      <w:ind w:left="950"/>
    </w:pPr>
  </w:style>
  <w:style w:type="paragraph" w:styleId="TOC7">
    <w:name w:val="toc 7"/>
    <w:basedOn w:val="Normal"/>
    <w:next w:val="Normal"/>
    <w:uiPriority w:val="39"/>
    <w:semiHidden/>
    <w:unhideWhenUsed/>
    <w:pPr>
      <w:spacing w:after="100"/>
      <w:ind w:left="1140"/>
    </w:pPr>
  </w:style>
  <w:style w:type="paragraph" w:styleId="TOC8">
    <w:name w:val="toc 8"/>
    <w:basedOn w:val="Normal"/>
    <w:next w:val="Normal"/>
    <w:uiPriority w:val="39"/>
    <w:semiHidden/>
    <w:unhideWhenUsed/>
    <w:pPr>
      <w:spacing w:after="100"/>
      <w:ind w:left="1330"/>
    </w:pPr>
  </w:style>
  <w:style w:type="paragraph" w:styleId="TOC9">
    <w:name w:val="toc 9"/>
    <w:basedOn w:val="Normal"/>
    <w:next w:val="Normal"/>
    <w:uiPriority w:val="39"/>
    <w:semiHidden/>
    <w:unhideWhenUsed/>
    <w:pPr>
      <w:spacing w:after="100"/>
      <w:ind w:left="152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Tender: management company for a new condominium</dc:title>
  <dc:creator>unitify.com</dc:creator>
  <dc:description>https://unitify.com/management-company/developer-turnover-hoa-management-company</dc:description>
  <cp:lastModifiedBy>unitify.com</cp:lastModifiedBy>
  <cp:revision>1</cp:revision>
  <dcterms:created xsi:type="dcterms:W3CDTF">2026-10-30T18:59:44.828Z</dcterms:created>
  <dcterms:modified xsi:type="dcterms:W3CDTF">2026-10-30T18:59:44.828Z</dcterms:modified>
</cp:coreProperties>
</file>

<file path=docProps/custom.xml><?xml version="1.0" encoding="utf-8"?>
<Properties xmlns="http://schemas.openxmlformats.org/officeDocument/2006/custom-properties" xmlns:vt="http://schemas.openxmlformats.org/officeDocument/2006/docPropsVTypes"/>
</file>